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94BFEA">
      <w:pPr>
        <w:pStyle w:val="2"/>
        <w:spacing w:line="360" w:lineRule="auto"/>
        <w:jc w:val="center"/>
        <w:rPr>
          <w:rFonts w:hint="eastAsia" w:ascii="仿宋" w:hAnsi="仿宋" w:eastAsia="仿宋" w:cs="仿宋"/>
          <w:color w:val="auto"/>
        </w:rPr>
      </w:pPr>
      <w:r>
        <w:rPr>
          <w:rFonts w:hint="eastAsia" w:ascii="黑体" w:hAnsi="黑体" w:eastAsia="黑体" w:cs="黑体"/>
          <w:color w:val="auto"/>
          <w:lang w:val="en-US" w:eastAsia="zh-CN"/>
        </w:rPr>
        <w:t>采购</w:t>
      </w:r>
      <w:r>
        <w:rPr>
          <w:rFonts w:hint="eastAsia" w:ascii="黑体" w:hAnsi="黑体" w:eastAsia="黑体" w:cs="黑体"/>
          <w:color w:val="auto"/>
        </w:rPr>
        <w:t>需求</w:t>
      </w:r>
    </w:p>
    <w:p w14:paraId="4895A390">
      <w:pPr>
        <w:pStyle w:val="3"/>
        <w:spacing w:line="360" w:lineRule="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一、</w:t>
      </w:r>
      <w:r>
        <w:rPr>
          <w:rFonts w:hint="eastAsia" w:ascii="仿宋" w:hAnsi="仿宋" w:eastAsia="仿宋" w:cs="仿宋"/>
          <w:color w:val="auto"/>
          <w:sz w:val="28"/>
          <w:szCs w:val="28"/>
        </w:rPr>
        <w:t>项目概况</w:t>
      </w:r>
    </w:p>
    <w:p w14:paraId="1B5FE087">
      <w:pPr>
        <w:pStyle w:val="8"/>
        <w:spacing w:line="360" w:lineRule="auto"/>
        <w:ind w:firstLine="520" w:firstLineChars="200"/>
        <w:rPr>
          <w:rFonts w:hint="eastAsia" w:ascii="仿宋" w:hAnsi="仿宋" w:eastAsia="仿宋" w:cs="仿宋"/>
          <w:color w:val="auto"/>
          <w:lang w:val="en-US" w:eastAsia="zh-CN"/>
        </w:rPr>
      </w:pPr>
      <w:bookmarkStart w:id="0" w:name="OLE_LINK13"/>
      <w:r>
        <w:rPr>
          <w:rFonts w:hint="eastAsia" w:ascii="仿宋" w:hAnsi="仿宋" w:eastAsia="仿宋" w:cs="仿宋"/>
          <w:color w:val="auto"/>
          <w:lang w:val="en-US" w:eastAsia="zh-CN"/>
        </w:rPr>
        <w:t>按照《生活垃圾分类处理工作第三方评估评分细则》，重点评估辖区居住小区的投放模式执行、投放点建设和优化提升、点位保洁管养，星级投放点建设管养和分类效果情况；机团单位、经营区域、公共场所的生活垃圾分类全覆盖情况，包括宣传培训、制度建设、容器配置和分类效果情况等。</w:t>
      </w:r>
    </w:p>
    <w:bookmarkEnd w:id="0"/>
    <w:p w14:paraId="19750D5B">
      <w:pPr>
        <w:pStyle w:val="8"/>
        <w:spacing w:line="360" w:lineRule="auto"/>
        <w:ind w:firstLine="520" w:firstLineChars="200"/>
        <w:rPr>
          <w:rFonts w:hint="eastAsia" w:ascii="仿宋" w:hAnsi="仿宋" w:eastAsia="仿宋" w:cs="仿宋"/>
          <w:color w:val="auto"/>
          <w:lang w:val="en-US" w:eastAsia="zh-CN"/>
        </w:rPr>
      </w:pPr>
      <w:r>
        <w:rPr>
          <w:rFonts w:hint="eastAsia" w:ascii="仿宋" w:hAnsi="仿宋" w:eastAsia="仿宋" w:cs="仿宋"/>
          <w:color w:val="auto"/>
          <w:lang w:val="en-US" w:eastAsia="zh-CN"/>
        </w:rPr>
        <w:t>项目总预算为人民币27,000,000元（大写：贰仟柒佰万元整），服务期限为三年，每年预算金额为人民币9,000,000元（大写：玖佰万元整）。</w:t>
      </w:r>
    </w:p>
    <w:p w14:paraId="386B9680">
      <w:pPr>
        <w:pStyle w:val="8"/>
        <w:spacing w:line="360" w:lineRule="auto"/>
        <w:ind w:firstLine="520" w:firstLineChars="200"/>
        <w:rPr>
          <w:rFonts w:hint="eastAsia" w:ascii="仿宋" w:hAnsi="仿宋" w:eastAsia="仿宋" w:cs="仿宋"/>
          <w:color w:val="auto"/>
        </w:rPr>
      </w:pPr>
    </w:p>
    <w:p w14:paraId="41895F61">
      <w:pPr>
        <w:spacing w:line="360" w:lineRule="auto"/>
        <w:outlineLvl w:val="9"/>
        <w:rPr>
          <w:rFonts w:hint="eastAsia" w:ascii="仿宋" w:hAnsi="仿宋" w:eastAsia="仿宋" w:cs="仿宋"/>
          <w:b/>
          <w:bCs/>
          <w:color w:val="auto"/>
          <w:sz w:val="24"/>
          <w:szCs w:val="28"/>
        </w:rPr>
      </w:pPr>
      <w:r>
        <w:rPr>
          <w:rFonts w:hint="eastAsia" w:ascii="仿宋" w:hAnsi="仿宋" w:eastAsia="仿宋" w:cs="仿宋"/>
          <w:b/>
          <w:bCs/>
          <w:color w:val="auto"/>
          <w:sz w:val="24"/>
          <w:szCs w:val="28"/>
          <w:lang w:val="en-US" w:eastAsia="zh-CN"/>
        </w:rPr>
        <w:t>采购</w:t>
      </w:r>
      <w:r>
        <w:rPr>
          <w:rFonts w:hint="eastAsia" w:ascii="仿宋" w:hAnsi="仿宋" w:eastAsia="仿宋" w:cs="仿宋"/>
          <w:b/>
          <w:bCs/>
          <w:color w:val="auto"/>
          <w:sz w:val="24"/>
          <w:szCs w:val="28"/>
        </w:rPr>
        <w:t>包1（</w:t>
      </w:r>
      <w:bookmarkStart w:id="1" w:name="OLE_LINK12"/>
      <w:r>
        <w:rPr>
          <w:rFonts w:hint="eastAsia" w:ascii="仿宋" w:hAnsi="仿宋" w:eastAsia="仿宋" w:cs="仿宋"/>
          <w:b/>
          <w:bCs/>
          <w:color w:val="auto"/>
          <w:sz w:val="24"/>
          <w:szCs w:val="28"/>
          <w:lang w:eastAsia="zh-CN"/>
        </w:rPr>
        <w:t>2024-2026年生活垃圾分类第三方评估项目</w:t>
      </w:r>
      <w:bookmarkEnd w:id="1"/>
      <w:r>
        <w:rPr>
          <w:rFonts w:hint="eastAsia" w:ascii="仿宋" w:hAnsi="仿宋" w:eastAsia="仿宋" w:cs="仿宋"/>
          <w:b/>
          <w:bCs/>
          <w:color w:val="auto"/>
          <w:sz w:val="24"/>
          <w:szCs w:val="28"/>
        </w:rPr>
        <w:t>）</w:t>
      </w:r>
    </w:p>
    <w:p w14:paraId="1BC3EBC9">
      <w:pPr>
        <w:spacing w:line="360" w:lineRule="auto"/>
        <w:outlineLvl w:val="9"/>
        <w:rPr>
          <w:rFonts w:hint="eastAsia" w:ascii="仿宋" w:hAnsi="仿宋" w:eastAsia="仿宋" w:cs="仿宋"/>
          <w:b/>
          <w:bCs/>
          <w:color w:val="auto"/>
          <w:sz w:val="24"/>
          <w:szCs w:val="28"/>
        </w:rPr>
      </w:pPr>
      <w:r>
        <w:rPr>
          <w:rFonts w:hint="eastAsia" w:ascii="仿宋" w:hAnsi="仿宋" w:eastAsia="仿宋" w:cs="仿宋"/>
          <w:b/>
          <w:bCs/>
          <w:color w:val="auto"/>
          <w:sz w:val="24"/>
          <w:szCs w:val="28"/>
        </w:rPr>
        <w:t>1.主要商务要求</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86"/>
        <w:gridCol w:w="6436"/>
      </w:tblGrid>
      <w:tr w14:paraId="0FFFD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2086" w:type="dxa"/>
            <w:vAlign w:val="center"/>
          </w:tcPr>
          <w:p w14:paraId="4CA2DE5E">
            <w:pPr>
              <w:autoSpaceDE w:val="0"/>
              <w:autoSpaceDN w:val="0"/>
              <w:adjustRightInd w:val="0"/>
              <w:spacing w:line="360" w:lineRule="auto"/>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标的提供的时间</w:t>
            </w:r>
          </w:p>
        </w:tc>
        <w:tc>
          <w:tcPr>
            <w:tcW w:w="6436" w:type="dxa"/>
          </w:tcPr>
          <w:p w14:paraId="43AC5B4E">
            <w:pPr>
              <w:autoSpaceDE w:val="0"/>
              <w:autoSpaceDN w:val="0"/>
              <w:adjustRightInd w:val="0"/>
              <w:spacing w:line="360" w:lineRule="auto"/>
              <w:jc w:val="left"/>
              <w:rPr>
                <w:rFonts w:hint="eastAsia" w:ascii="仿宋" w:hAnsi="仿宋" w:eastAsia="仿宋" w:cs="仿宋"/>
                <w:color w:val="auto"/>
                <w:kern w:val="0"/>
                <w:sz w:val="24"/>
                <w:szCs w:val="24"/>
              </w:rPr>
            </w:pPr>
            <w:r>
              <w:rPr>
                <w:rFonts w:hint="eastAsia" w:ascii="仿宋" w:hAnsi="仿宋" w:eastAsia="仿宋" w:cs="仿宋"/>
                <w:color w:val="auto"/>
                <w:kern w:val="0"/>
                <w:sz w:val="24"/>
                <w:szCs w:val="24"/>
                <w:lang w:val="zh-CN" w:eastAsia="zh-CN"/>
              </w:rPr>
              <w:t>自合同签订之日起</w:t>
            </w:r>
            <w:r>
              <w:rPr>
                <w:rFonts w:hint="eastAsia" w:ascii="仿宋" w:hAnsi="仿宋" w:eastAsia="仿宋" w:cs="仿宋"/>
                <w:color w:val="auto"/>
                <w:kern w:val="0"/>
                <w:sz w:val="24"/>
                <w:szCs w:val="24"/>
                <w:lang w:val="en-US" w:eastAsia="zh-CN"/>
              </w:rPr>
              <w:t>三年。</w:t>
            </w:r>
          </w:p>
        </w:tc>
      </w:tr>
      <w:tr w14:paraId="2FA5C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6" w:type="dxa"/>
            <w:vAlign w:val="center"/>
          </w:tcPr>
          <w:p w14:paraId="66CC5FE0">
            <w:pPr>
              <w:autoSpaceDE w:val="0"/>
              <w:autoSpaceDN w:val="0"/>
              <w:adjustRightInd w:val="0"/>
              <w:spacing w:line="360" w:lineRule="auto"/>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标的提供的地点</w:t>
            </w:r>
          </w:p>
        </w:tc>
        <w:tc>
          <w:tcPr>
            <w:tcW w:w="6436" w:type="dxa"/>
          </w:tcPr>
          <w:p w14:paraId="59234A58">
            <w:pPr>
              <w:autoSpaceDE w:val="0"/>
              <w:autoSpaceDN w:val="0"/>
              <w:adjustRightInd w:val="0"/>
              <w:spacing w:line="360" w:lineRule="auto"/>
              <w:jc w:val="left"/>
              <w:rPr>
                <w:rFonts w:hint="default"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采购人指定地点。</w:t>
            </w:r>
          </w:p>
        </w:tc>
      </w:tr>
      <w:tr w14:paraId="250B6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6" w:type="dxa"/>
            <w:vAlign w:val="center"/>
          </w:tcPr>
          <w:p w14:paraId="56C632BA">
            <w:pPr>
              <w:autoSpaceDE w:val="0"/>
              <w:autoSpaceDN w:val="0"/>
              <w:adjustRightInd w:val="0"/>
              <w:spacing w:line="360" w:lineRule="auto"/>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付款方式</w:t>
            </w:r>
          </w:p>
        </w:tc>
        <w:tc>
          <w:tcPr>
            <w:tcW w:w="6436" w:type="dxa"/>
          </w:tcPr>
          <w:p w14:paraId="5C20F63A">
            <w:pPr>
              <w:autoSpaceDE w:val="0"/>
              <w:autoSpaceDN w:val="0"/>
              <w:adjustRightInd w:val="0"/>
              <w:spacing w:line="360" w:lineRule="auto"/>
              <w:jc w:val="left"/>
              <w:rPr>
                <w:rFonts w:hint="default" w:ascii="仿宋" w:hAnsi="仿宋" w:eastAsia="仿宋" w:cs="仿宋"/>
                <w:color w:val="auto"/>
                <w:kern w:val="0"/>
                <w:sz w:val="24"/>
                <w:szCs w:val="24"/>
                <w:lang w:val="en-US" w:eastAsia="zh-CN"/>
              </w:rPr>
            </w:pPr>
            <w:r>
              <w:rPr>
                <w:rFonts w:hint="eastAsia" w:ascii="仿宋" w:hAnsi="仿宋" w:eastAsia="仿宋" w:cs="仿宋"/>
                <w:color w:val="auto"/>
                <w:kern w:val="0"/>
                <w:sz w:val="24"/>
                <w:szCs w:val="24"/>
              </w:rPr>
              <w:t>1期：</w:t>
            </w:r>
            <w:r>
              <w:rPr>
                <w:rFonts w:hint="eastAsia" w:ascii="仿宋" w:hAnsi="仿宋" w:eastAsia="仿宋" w:cs="仿宋"/>
                <w:color w:val="auto"/>
                <w:kern w:val="0"/>
                <w:sz w:val="24"/>
                <w:szCs w:val="24"/>
                <w:lang w:val="en-US" w:eastAsia="zh-CN"/>
              </w:rPr>
              <w:t>支付比例100%，</w:t>
            </w:r>
          </w:p>
          <w:p w14:paraId="34824B47">
            <w:pPr>
              <w:autoSpaceDE w:val="0"/>
              <w:autoSpaceDN w:val="0"/>
              <w:adjustRightInd w:val="0"/>
              <w:spacing w:line="360" w:lineRule="auto"/>
              <w:ind w:firstLine="482" w:firstLineChars="200"/>
              <w:jc w:val="left"/>
              <w:rPr>
                <w:rFonts w:hint="eastAsia" w:ascii="仿宋" w:hAnsi="仿宋" w:eastAsia="仿宋" w:cs="仿宋"/>
                <w:b/>
                <w:bCs/>
                <w:color w:val="auto"/>
                <w:kern w:val="0"/>
                <w:sz w:val="24"/>
                <w:szCs w:val="24"/>
                <w:lang w:val="zh-CN" w:eastAsia="zh-CN"/>
              </w:rPr>
            </w:pPr>
            <w:r>
              <w:rPr>
                <w:rFonts w:hint="eastAsia" w:ascii="仿宋" w:hAnsi="仿宋" w:eastAsia="仿宋" w:cs="仿宋"/>
                <w:b/>
                <w:bCs/>
                <w:color w:val="auto"/>
                <w:kern w:val="0"/>
                <w:sz w:val="24"/>
                <w:szCs w:val="24"/>
                <w:lang w:val="zh-CN" w:eastAsia="zh-CN"/>
              </w:rPr>
              <w:t>第一年合同支付</w:t>
            </w:r>
          </w:p>
          <w:p w14:paraId="0E60BD68">
            <w:pPr>
              <w:autoSpaceDE w:val="0"/>
              <w:autoSpaceDN w:val="0"/>
              <w:adjustRightInd w:val="0"/>
              <w:spacing w:line="360" w:lineRule="auto"/>
              <w:ind w:firstLine="240" w:firstLineChars="100"/>
              <w:jc w:val="left"/>
              <w:rPr>
                <w:rFonts w:hint="eastAsia" w:ascii="仿宋" w:hAnsi="仿宋" w:eastAsia="仿宋" w:cs="仿宋"/>
                <w:color w:val="auto"/>
                <w:kern w:val="0"/>
                <w:sz w:val="24"/>
                <w:szCs w:val="24"/>
                <w:lang w:val="zh-CN" w:eastAsia="zh-CN"/>
              </w:rPr>
            </w:pPr>
            <w:r>
              <w:rPr>
                <w:rFonts w:hint="eastAsia" w:ascii="仿宋" w:hAnsi="仿宋" w:eastAsia="仿宋" w:cs="仿宋"/>
                <w:color w:val="auto"/>
                <w:kern w:val="0"/>
                <w:sz w:val="24"/>
                <w:szCs w:val="24"/>
                <w:lang w:val="zh-CN" w:eastAsia="zh-CN"/>
              </w:rPr>
              <w:t>（1）合同签署生效起10个工作日内，采购人向中标人支付合同第一年金额的</w:t>
            </w:r>
            <w:r>
              <w:rPr>
                <w:rFonts w:hint="eastAsia" w:ascii="仿宋" w:hAnsi="仿宋" w:eastAsia="仿宋" w:cs="仿宋"/>
                <w:color w:val="auto"/>
                <w:kern w:val="0"/>
                <w:sz w:val="24"/>
                <w:szCs w:val="24"/>
                <w:lang w:val="en-US" w:eastAsia="zh-CN"/>
              </w:rPr>
              <w:t>30%</w:t>
            </w:r>
            <w:r>
              <w:rPr>
                <w:rFonts w:hint="eastAsia" w:ascii="仿宋" w:hAnsi="仿宋" w:eastAsia="仿宋" w:cs="仿宋"/>
                <w:color w:val="auto"/>
                <w:kern w:val="0"/>
                <w:sz w:val="24"/>
                <w:szCs w:val="24"/>
                <w:lang w:val="zh-CN" w:eastAsia="zh-CN"/>
              </w:rPr>
              <w:t>作为预付款。</w:t>
            </w:r>
          </w:p>
          <w:p w14:paraId="38DBDC52">
            <w:pPr>
              <w:autoSpaceDE w:val="0"/>
              <w:autoSpaceDN w:val="0"/>
              <w:adjustRightInd w:val="0"/>
              <w:spacing w:line="360" w:lineRule="auto"/>
              <w:ind w:firstLine="480" w:firstLineChars="200"/>
              <w:jc w:val="left"/>
              <w:rPr>
                <w:rFonts w:hint="eastAsia" w:ascii="仿宋" w:hAnsi="仿宋" w:eastAsia="仿宋" w:cs="仿宋"/>
                <w:color w:val="auto"/>
                <w:kern w:val="0"/>
                <w:sz w:val="24"/>
                <w:szCs w:val="24"/>
                <w:lang w:val="zh-CN" w:eastAsia="zh-CN"/>
              </w:rPr>
            </w:pPr>
            <w:r>
              <w:rPr>
                <w:rFonts w:hint="eastAsia" w:ascii="仿宋" w:hAnsi="仿宋" w:eastAsia="仿宋" w:cs="仿宋"/>
                <w:color w:val="auto"/>
                <w:kern w:val="0"/>
                <w:sz w:val="24"/>
                <w:szCs w:val="24"/>
                <w:lang w:val="zh-CN" w:eastAsia="zh-CN"/>
              </w:rPr>
              <w:t>（2）自合同签订后次月起，中标人完成6个月工作任务后10个工作日内，采购人支付中标人</w:t>
            </w:r>
            <w:r>
              <w:rPr>
                <w:rFonts w:hint="eastAsia" w:ascii="仿宋" w:hAnsi="仿宋" w:eastAsia="仿宋" w:cs="仿宋"/>
                <w:color w:val="auto"/>
                <w:kern w:val="0"/>
                <w:sz w:val="24"/>
                <w:szCs w:val="24"/>
                <w:lang w:val="en-US" w:eastAsia="zh-CN"/>
              </w:rPr>
              <w:t>本年度</w:t>
            </w:r>
            <w:r>
              <w:rPr>
                <w:rFonts w:hint="eastAsia" w:ascii="仿宋" w:hAnsi="仿宋" w:eastAsia="仿宋" w:cs="仿宋"/>
                <w:color w:val="auto"/>
                <w:kern w:val="0"/>
                <w:sz w:val="24"/>
                <w:szCs w:val="24"/>
                <w:lang w:val="zh-CN" w:eastAsia="zh-CN"/>
              </w:rPr>
              <w:t>合同金额的60%；</w:t>
            </w:r>
          </w:p>
          <w:p w14:paraId="184FBEF3">
            <w:pPr>
              <w:autoSpaceDE w:val="0"/>
              <w:autoSpaceDN w:val="0"/>
              <w:adjustRightInd w:val="0"/>
              <w:spacing w:line="360" w:lineRule="auto"/>
              <w:ind w:firstLine="480" w:firstLineChars="200"/>
              <w:jc w:val="left"/>
              <w:rPr>
                <w:rFonts w:hint="eastAsia" w:ascii="仿宋" w:hAnsi="仿宋" w:eastAsia="仿宋" w:cs="仿宋"/>
                <w:color w:val="auto"/>
                <w:kern w:val="0"/>
                <w:sz w:val="24"/>
                <w:szCs w:val="24"/>
                <w:lang w:val="zh-CN" w:eastAsia="zh-CN"/>
              </w:rPr>
            </w:pPr>
            <w:r>
              <w:rPr>
                <w:rFonts w:hint="eastAsia" w:ascii="仿宋" w:hAnsi="仿宋" w:eastAsia="仿宋" w:cs="仿宋"/>
                <w:color w:val="auto"/>
                <w:kern w:val="0"/>
                <w:sz w:val="24"/>
                <w:szCs w:val="24"/>
                <w:lang w:val="zh-CN" w:eastAsia="zh-CN"/>
              </w:rPr>
              <w:t>（3）当年项目结束并根据质量评估公司的评估结果进行验收后,采购人付给中标人该项任务合同金额的本年度剩余款项。</w:t>
            </w:r>
          </w:p>
          <w:p w14:paraId="22E25FEF">
            <w:pPr>
              <w:autoSpaceDE w:val="0"/>
              <w:autoSpaceDN w:val="0"/>
              <w:adjustRightInd w:val="0"/>
              <w:spacing w:line="360" w:lineRule="auto"/>
              <w:ind w:firstLine="482" w:firstLineChars="200"/>
              <w:jc w:val="left"/>
              <w:rPr>
                <w:rFonts w:hint="eastAsia" w:ascii="仿宋" w:hAnsi="仿宋" w:eastAsia="仿宋" w:cs="仿宋"/>
                <w:b/>
                <w:bCs/>
                <w:color w:val="auto"/>
                <w:kern w:val="0"/>
                <w:sz w:val="24"/>
                <w:szCs w:val="24"/>
                <w:lang w:val="zh-CN" w:eastAsia="zh-CN"/>
              </w:rPr>
            </w:pPr>
            <w:r>
              <w:rPr>
                <w:rFonts w:hint="eastAsia" w:ascii="仿宋" w:hAnsi="仿宋" w:eastAsia="仿宋" w:cs="仿宋"/>
                <w:b/>
                <w:bCs/>
                <w:color w:val="auto"/>
                <w:kern w:val="0"/>
                <w:sz w:val="24"/>
                <w:szCs w:val="24"/>
                <w:lang w:val="zh-CN" w:eastAsia="zh-CN"/>
              </w:rPr>
              <w:t>第二、三年合同支付</w:t>
            </w:r>
          </w:p>
          <w:p w14:paraId="73DDE2F2">
            <w:pPr>
              <w:autoSpaceDE w:val="0"/>
              <w:autoSpaceDN w:val="0"/>
              <w:adjustRightInd w:val="0"/>
              <w:spacing w:line="360" w:lineRule="auto"/>
              <w:ind w:firstLine="480" w:firstLineChars="200"/>
              <w:jc w:val="left"/>
              <w:rPr>
                <w:rFonts w:hint="eastAsia" w:ascii="仿宋" w:hAnsi="仿宋" w:eastAsia="仿宋" w:cs="仿宋"/>
                <w:color w:val="auto"/>
                <w:kern w:val="0"/>
                <w:sz w:val="24"/>
                <w:szCs w:val="24"/>
                <w:lang w:val="zh-CN" w:eastAsia="zh-CN"/>
              </w:rPr>
            </w:pPr>
            <w:r>
              <w:rPr>
                <w:rFonts w:hint="eastAsia" w:ascii="仿宋" w:hAnsi="仿宋" w:eastAsia="仿宋" w:cs="仿宋"/>
                <w:color w:val="auto"/>
                <w:kern w:val="0"/>
                <w:sz w:val="24"/>
                <w:szCs w:val="24"/>
                <w:lang w:val="zh-CN" w:eastAsia="zh-CN"/>
              </w:rPr>
              <w:t>（1）当年工作任务开始次月起，中标人每完成3个月工作任务后10个工作日内，采购人支付中标人</w:t>
            </w:r>
            <w:r>
              <w:rPr>
                <w:rFonts w:hint="eastAsia" w:ascii="仿宋" w:hAnsi="仿宋" w:eastAsia="仿宋" w:cs="仿宋"/>
                <w:color w:val="auto"/>
                <w:kern w:val="0"/>
                <w:sz w:val="24"/>
                <w:szCs w:val="24"/>
                <w:lang w:val="en-US" w:eastAsia="zh-CN"/>
              </w:rPr>
              <w:t>当年</w:t>
            </w:r>
            <w:r>
              <w:rPr>
                <w:rFonts w:hint="eastAsia" w:ascii="仿宋" w:hAnsi="仿宋" w:eastAsia="仿宋" w:cs="仿宋"/>
                <w:color w:val="auto"/>
                <w:kern w:val="0"/>
                <w:sz w:val="24"/>
                <w:szCs w:val="24"/>
                <w:lang w:val="zh-CN" w:eastAsia="zh-CN"/>
              </w:rPr>
              <w:t>合同金额的30%；</w:t>
            </w:r>
          </w:p>
          <w:p w14:paraId="2907DE9B">
            <w:pPr>
              <w:autoSpaceDE w:val="0"/>
              <w:autoSpaceDN w:val="0"/>
              <w:adjustRightInd w:val="0"/>
              <w:spacing w:line="360" w:lineRule="auto"/>
              <w:ind w:firstLine="480" w:firstLineChars="200"/>
              <w:jc w:val="left"/>
              <w:rPr>
                <w:rFonts w:hint="eastAsia" w:ascii="仿宋" w:hAnsi="仿宋" w:eastAsia="仿宋" w:cs="仿宋"/>
                <w:color w:val="auto"/>
                <w:kern w:val="0"/>
                <w:sz w:val="24"/>
                <w:szCs w:val="24"/>
                <w:lang w:val="zh-CN" w:eastAsia="zh-CN"/>
              </w:rPr>
            </w:pPr>
            <w:r>
              <w:rPr>
                <w:rFonts w:hint="eastAsia" w:ascii="仿宋" w:hAnsi="仿宋" w:eastAsia="仿宋" w:cs="仿宋"/>
                <w:color w:val="auto"/>
                <w:kern w:val="0"/>
                <w:sz w:val="24"/>
                <w:szCs w:val="24"/>
                <w:lang w:val="zh-CN" w:eastAsia="zh-CN"/>
              </w:rPr>
              <w:t>（2）当年项目结束并根据质量评估公司的评估结果进行验收后,采购人付给中标人该项任务</w:t>
            </w:r>
            <w:r>
              <w:rPr>
                <w:rFonts w:hint="eastAsia" w:ascii="仿宋" w:hAnsi="仿宋" w:eastAsia="仿宋" w:cs="仿宋"/>
                <w:color w:val="auto"/>
                <w:kern w:val="0"/>
                <w:sz w:val="24"/>
                <w:szCs w:val="24"/>
                <w:lang w:val="en-US" w:eastAsia="zh-CN"/>
              </w:rPr>
              <w:t>当年</w:t>
            </w:r>
            <w:r>
              <w:rPr>
                <w:rFonts w:hint="eastAsia" w:ascii="仿宋" w:hAnsi="仿宋" w:eastAsia="仿宋" w:cs="仿宋"/>
                <w:color w:val="auto"/>
                <w:kern w:val="0"/>
                <w:sz w:val="24"/>
                <w:szCs w:val="24"/>
                <w:lang w:val="zh-CN" w:eastAsia="zh-CN"/>
              </w:rPr>
              <w:t>合同金额的剩余款项。</w:t>
            </w:r>
          </w:p>
          <w:p w14:paraId="443C1B08">
            <w:pPr>
              <w:autoSpaceDE w:val="0"/>
              <w:autoSpaceDN w:val="0"/>
              <w:adjustRightInd w:val="0"/>
              <w:spacing w:line="360" w:lineRule="auto"/>
              <w:ind w:firstLine="480" w:firstLineChars="200"/>
              <w:jc w:val="left"/>
              <w:rPr>
                <w:rFonts w:hint="eastAsia" w:ascii="仿宋" w:hAnsi="仿宋" w:eastAsia="仿宋" w:cs="仿宋"/>
                <w:color w:val="auto"/>
                <w:kern w:val="0"/>
                <w:sz w:val="24"/>
                <w:szCs w:val="24"/>
                <w:lang w:val="zh-CN" w:eastAsia="zh-CN"/>
              </w:rPr>
            </w:pPr>
            <w:r>
              <w:rPr>
                <w:rFonts w:hint="eastAsia" w:ascii="仿宋" w:hAnsi="仿宋" w:eastAsia="仿宋" w:cs="仿宋"/>
                <w:color w:val="auto"/>
                <w:kern w:val="0"/>
                <w:sz w:val="24"/>
                <w:szCs w:val="24"/>
                <w:lang w:val="zh-CN" w:eastAsia="zh-CN"/>
              </w:rPr>
              <w:t>在采购人支付预付款、进度款或尾款项之前，中标人需5个工作日内向采购人提供下列资料：</w:t>
            </w:r>
          </w:p>
          <w:p w14:paraId="1D094A32">
            <w:pPr>
              <w:autoSpaceDE w:val="0"/>
              <w:autoSpaceDN w:val="0"/>
              <w:adjustRightInd w:val="0"/>
              <w:spacing w:line="360" w:lineRule="auto"/>
              <w:ind w:firstLine="480" w:firstLineChars="200"/>
              <w:jc w:val="left"/>
              <w:rPr>
                <w:rFonts w:hint="eastAsia" w:ascii="仿宋" w:hAnsi="仿宋" w:eastAsia="仿宋" w:cs="仿宋"/>
                <w:color w:val="auto"/>
                <w:kern w:val="0"/>
                <w:sz w:val="24"/>
                <w:szCs w:val="24"/>
                <w:lang w:val="zh-CN" w:eastAsia="zh-CN"/>
              </w:rPr>
            </w:pPr>
            <w:r>
              <w:rPr>
                <w:rFonts w:hint="eastAsia" w:ascii="仿宋" w:hAnsi="仿宋" w:eastAsia="仿宋" w:cs="仿宋"/>
                <w:color w:val="auto"/>
                <w:kern w:val="0"/>
                <w:sz w:val="24"/>
                <w:szCs w:val="24"/>
                <w:lang w:val="zh-CN" w:eastAsia="zh-CN"/>
              </w:rPr>
              <w:t>（1）</w:t>
            </w:r>
            <w:r>
              <w:rPr>
                <w:rFonts w:hint="eastAsia" w:ascii="仿宋" w:hAnsi="仿宋" w:eastAsia="仿宋" w:cs="仿宋"/>
                <w:color w:val="auto"/>
                <w:kern w:val="0"/>
                <w:sz w:val="24"/>
                <w:szCs w:val="24"/>
                <w:lang w:val="en-US" w:eastAsia="zh-CN"/>
              </w:rPr>
              <w:t>中标</w:t>
            </w:r>
            <w:r>
              <w:rPr>
                <w:rFonts w:hint="eastAsia" w:ascii="仿宋" w:hAnsi="仿宋" w:eastAsia="仿宋" w:cs="仿宋"/>
                <w:color w:val="auto"/>
                <w:kern w:val="0"/>
                <w:sz w:val="24"/>
                <w:szCs w:val="24"/>
                <w:lang w:val="zh-CN" w:eastAsia="zh-CN"/>
              </w:rPr>
              <w:t>通知书；</w:t>
            </w:r>
          </w:p>
          <w:p w14:paraId="649E5EE5">
            <w:pPr>
              <w:autoSpaceDE w:val="0"/>
              <w:autoSpaceDN w:val="0"/>
              <w:adjustRightInd w:val="0"/>
              <w:spacing w:line="360" w:lineRule="auto"/>
              <w:ind w:firstLine="480" w:firstLineChars="200"/>
              <w:jc w:val="left"/>
              <w:rPr>
                <w:rFonts w:hint="eastAsia" w:ascii="仿宋" w:hAnsi="仿宋" w:eastAsia="仿宋" w:cs="仿宋"/>
                <w:color w:val="auto"/>
                <w:kern w:val="0"/>
                <w:sz w:val="24"/>
                <w:szCs w:val="24"/>
                <w:lang w:val="zh-CN" w:eastAsia="zh-CN"/>
              </w:rPr>
            </w:pPr>
            <w:r>
              <w:rPr>
                <w:rFonts w:hint="eastAsia" w:ascii="仿宋" w:hAnsi="仿宋" w:eastAsia="仿宋" w:cs="仿宋"/>
                <w:color w:val="auto"/>
                <w:kern w:val="0"/>
                <w:sz w:val="24"/>
                <w:szCs w:val="24"/>
                <w:lang w:val="zh-CN" w:eastAsia="zh-CN"/>
              </w:rPr>
              <w:t>（2）合同原件；</w:t>
            </w:r>
          </w:p>
          <w:p w14:paraId="68FFA3BB">
            <w:pPr>
              <w:autoSpaceDE w:val="0"/>
              <w:autoSpaceDN w:val="0"/>
              <w:adjustRightInd w:val="0"/>
              <w:spacing w:line="360" w:lineRule="auto"/>
              <w:ind w:firstLine="480" w:firstLineChars="200"/>
              <w:jc w:val="left"/>
              <w:rPr>
                <w:rFonts w:hint="eastAsia" w:ascii="仿宋" w:hAnsi="仿宋" w:eastAsia="仿宋" w:cs="仿宋"/>
                <w:color w:val="auto"/>
                <w:kern w:val="0"/>
                <w:sz w:val="24"/>
                <w:szCs w:val="24"/>
              </w:rPr>
            </w:pPr>
            <w:r>
              <w:rPr>
                <w:rFonts w:hint="eastAsia" w:ascii="仿宋" w:hAnsi="仿宋" w:eastAsia="仿宋" w:cs="仿宋"/>
                <w:color w:val="auto"/>
                <w:kern w:val="0"/>
                <w:sz w:val="24"/>
                <w:szCs w:val="24"/>
                <w:lang w:val="zh-CN" w:eastAsia="zh-CN"/>
              </w:rPr>
              <w:t>（3）中标人开具的等额、合法有效的发票（加盖中标人公章）。</w:t>
            </w:r>
          </w:p>
        </w:tc>
      </w:tr>
      <w:tr w14:paraId="4BCEA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6" w:type="dxa"/>
            <w:vAlign w:val="center"/>
          </w:tcPr>
          <w:p w14:paraId="797AEFD6">
            <w:pPr>
              <w:autoSpaceDE w:val="0"/>
              <w:autoSpaceDN w:val="0"/>
              <w:adjustRightInd w:val="0"/>
              <w:spacing w:line="360" w:lineRule="auto"/>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验收要求</w:t>
            </w:r>
          </w:p>
        </w:tc>
        <w:tc>
          <w:tcPr>
            <w:tcW w:w="6436" w:type="dxa"/>
          </w:tcPr>
          <w:p w14:paraId="46014E67">
            <w:pPr>
              <w:autoSpaceDE w:val="0"/>
              <w:autoSpaceDN w:val="0"/>
              <w:adjustRightInd w:val="0"/>
              <w:spacing w:line="360" w:lineRule="auto"/>
              <w:jc w:val="both"/>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1期：</w:t>
            </w:r>
          </w:p>
          <w:p w14:paraId="08AC8D45">
            <w:pPr>
              <w:numPr>
                <w:ilvl w:val="0"/>
                <w:numId w:val="1"/>
              </w:numPr>
              <w:autoSpaceDE w:val="0"/>
              <w:autoSpaceDN w:val="0"/>
              <w:adjustRightInd w:val="0"/>
              <w:spacing w:line="360" w:lineRule="auto"/>
              <w:ind w:firstLine="480" w:firstLineChars="200"/>
              <w:jc w:val="left"/>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采购人收到供应商项目验收建议之日起7日内组织验收，以双方签定的合同、招标文件及投标文件为标准，对中标人履约情况进行验收。</w:t>
            </w:r>
          </w:p>
          <w:p w14:paraId="1A737CCB">
            <w:pPr>
              <w:autoSpaceDE w:val="0"/>
              <w:autoSpaceDN w:val="0"/>
              <w:adjustRightInd w:val="0"/>
              <w:spacing w:line="360" w:lineRule="auto"/>
              <w:ind w:firstLine="480" w:firstLineChars="200"/>
              <w:jc w:val="left"/>
              <w:rPr>
                <w:rFonts w:hint="eastAsia" w:ascii="仿宋" w:hAnsi="仿宋" w:eastAsia="仿宋" w:cs="仿宋"/>
                <w:color w:val="auto"/>
                <w:kern w:val="0"/>
                <w:sz w:val="24"/>
                <w:szCs w:val="24"/>
              </w:rPr>
            </w:pPr>
            <w:r>
              <w:rPr>
                <w:rFonts w:hint="eastAsia" w:ascii="仿宋" w:hAnsi="仿宋" w:eastAsia="仿宋" w:cs="仿宋"/>
                <w:color w:val="auto"/>
                <w:kern w:val="0"/>
                <w:sz w:val="24"/>
                <w:szCs w:val="24"/>
                <w:lang w:val="en-US" w:eastAsia="zh-CN"/>
              </w:rPr>
              <w:t>（2）项目执行期间，中标人每个月需提交阶段性报告，如服务内容与报告未达标，需在五个工作日内进行整改至验收合格。考评项目完成后，中标人向采购人提交所有的阶段性报告和考评报告及履行考评项目完毕的证明文件且经采购人验收确认合格</w:t>
            </w:r>
            <w:bookmarkStart w:id="2" w:name="OLE_LINK11"/>
            <w:r>
              <w:rPr>
                <w:rFonts w:hint="eastAsia" w:ascii="仿宋" w:hAnsi="仿宋" w:eastAsia="仿宋" w:cs="仿宋"/>
                <w:color w:val="auto"/>
                <w:kern w:val="0"/>
                <w:sz w:val="24"/>
                <w:szCs w:val="24"/>
                <w:lang w:val="en-US" w:eastAsia="zh-CN"/>
              </w:rPr>
              <w:t>。</w:t>
            </w:r>
            <w:bookmarkEnd w:id="2"/>
          </w:p>
        </w:tc>
      </w:tr>
      <w:tr w14:paraId="4453E1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6" w:type="dxa"/>
            <w:vAlign w:val="center"/>
          </w:tcPr>
          <w:p w14:paraId="6357F7B2">
            <w:pPr>
              <w:autoSpaceDE w:val="0"/>
              <w:autoSpaceDN w:val="0"/>
              <w:adjustRightInd w:val="0"/>
              <w:spacing w:line="360" w:lineRule="auto"/>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履约保证金</w:t>
            </w:r>
          </w:p>
        </w:tc>
        <w:tc>
          <w:tcPr>
            <w:tcW w:w="6436" w:type="dxa"/>
          </w:tcPr>
          <w:p w14:paraId="0FD65DE7">
            <w:pPr>
              <w:autoSpaceDE w:val="0"/>
              <w:autoSpaceDN w:val="0"/>
              <w:adjustRightInd w:val="0"/>
              <w:spacing w:line="360" w:lineRule="auto"/>
              <w:jc w:val="left"/>
              <w:rPr>
                <w:rFonts w:hint="eastAsia" w:ascii="仿宋" w:hAnsi="仿宋" w:eastAsia="仿宋" w:cs="仿宋"/>
                <w:color w:val="auto"/>
                <w:kern w:val="0"/>
                <w:sz w:val="24"/>
                <w:szCs w:val="24"/>
                <w:lang w:eastAsia="zh-CN"/>
              </w:rPr>
            </w:pPr>
            <w:r>
              <w:rPr>
                <w:rFonts w:hint="eastAsia" w:ascii="仿宋" w:hAnsi="仿宋" w:eastAsia="仿宋" w:cs="仿宋"/>
                <w:color w:val="auto"/>
                <w:kern w:val="0"/>
                <w:sz w:val="24"/>
                <w:szCs w:val="24"/>
              </w:rPr>
              <w:t>不收取</w:t>
            </w:r>
          </w:p>
        </w:tc>
      </w:tr>
      <w:tr w14:paraId="0055C8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6" w:type="dxa"/>
            <w:vAlign w:val="center"/>
          </w:tcPr>
          <w:p w14:paraId="7946CBEC">
            <w:pPr>
              <w:autoSpaceDE w:val="0"/>
              <w:autoSpaceDN w:val="0"/>
              <w:adjustRightInd w:val="0"/>
              <w:spacing w:line="360" w:lineRule="auto"/>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其他</w:t>
            </w:r>
          </w:p>
        </w:tc>
        <w:tc>
          <w:tcPr>
            <w:tcW w:w="6436" w:type="dxa"/>
          </w:tcPr>
          <w:p w14:paraId="7F73FDCD">
            <w:pPr>
              <w:autoSpaceDE w:val="0"/>
              <w:autoSpaceDN w:val="0"/>
              <w:adjustRightInd w:val="0"/>
              <w:spacing w:line="360" w:lineRule="auto"/>
              <w:jc w:val="left"/>
              <w:rPr>
                <w:rFonts w:hint="eastAsia" w:ascii="仿宋" w:hAnsi="仿宋" w:eastAsia="仿宋" w:cs="仿宋"/>
                <w:color w:val="auto"/>
                <w:kern w:val="0"/>
                <w:sz w:val="24"/>
                <w:szCs w:val="24"/>
                <w:lang w:eastAsia="zh-CN"/>
              </w:rPr>
            </w:pPr>
            <w:r>
              <w:rPr>
                <w:rFonts w:hint="eastAsia" w:ascii="仿宋" w:hAnsi="仿宋" w:eastAsia="仿宋" w:cs="仿宋"/>
                <w:color w:val="auto"/>
                <w:kern w:val="0"/>
                <w:sz w:val="24"/>
                <w:szCs w:val="24"/>
              </w:rPr>
              <w:t>报价要求</w:t>
            </w:r>
            <w:r>
              <w:rPr>
                <w:rFonts w:hint="eastAsia" w:ascii="仿宋" w:hAnsi="仿宋" w:eastAsia="仿宋" w:cs="仿宋"/>
                <w:color w:val="auto"/>
                <w:kern w:val="0"/>
                <w:sz w:val="24"/>
                <w:szCs w:val="24"/>
                <w:lang w:eastAsia="zh-CN"/>
              </w:rPr>
              <w:t>：</w:t>
            </w:r>
          </w:p>
          <w:p w14:paraId="23B63182">
            <w:pPr>
              <w:autoSpaceDE w:val="0"/>
              <w:autoSpaceDN w:val="0"/>
              <w:adjustRightInd w:val="0"/>
              <w:spacing w:line="360" w:lineRule="auto"/>
              <w:ind w:firstLine="480" w:firstLineChars="200"/>
              <w:jc w:val="left"/>
              <w:rPr>
                <w:rFonts w:hint="eastAsia" w:ascii="仿宋" w:hAnsi="仿宋" w:eastAsia="仿宋" w:cs="仿宋"/>
                <w:color w:val="auto"/>
                <w:kern w:val="0"/>
                <w:sz w:val="24"/>
                <w:szCs w:val="24"/>
                <w:lang w:eastAsia="zh-CN"/>
              </w:rPr>
            </w:pPr>
            <w:r>
              <w:rPr>
                <w:rFonts w:hint="eastAsia" w:ascii="仿宋" w:hAnsi="仿宋" w:eastAsia="仿宋" w:cs="仿宋"/>
                <w:color w:val="auto"/>
                <w:kern w:val="0"/>
                <w:sz w:val="24"/>
                <w:szCs w:val="24"/>
              </w:rPr>
              <w:t>本项目为总价包干项目，投标报价不得超过最高限价。中标人投标报价已包含完成本项目所需的人力成本、设备成本、利润、税金、交通、售后服务及其他相关费用等，同时因省、市等上级政策变化而引起的调整、修改工作由中标人按要求完成，不另行收费。采购人将不予支付除招标文件及承包合同约定的由采购人承担的风险因素之外的任何补偿。投标人的投标报价须以人民币为单位。</w:t>
            </w:r>
          </w:p>
        </w:tc>
      </w:tr>
    </w:tbl>
    <w:p w14:paraId="3C0E8D23">
      <w:pPr>
        <w:rPr>
          <w:rFonts w:hint="eastAsia" w:ascii="仿宋" w:hAnsi="仿宋" w:eastAsia="仿宋" w:cs="仿宋"/>
          <w:color w:val="auto"/>
          <w:sz w:val="24"/>
          <w:szCs w:val="24"/>
        </w:rPr>
      </w:pPr>
    </w:p>
    <w:p w14:paraId="38ECA271">
      <w:pPr>
        <w:rPr>
          <w:rFonts w:hint="eastAsia" w:ascii="仿宋" w:hAnsi="仿宋" w:eastAsia="仿宋" w:cs="仿宋"/>
          <w:color w:val="auto"/>
        </w:rPr>
      </w:pPr>
      <w:r>
        <w:rPr>
          <w:rFonts w:hint="eastAsia" w:ascii="仿宋" w:hAnsi="仿宋" w:eastAsia="仿宋" w:cs="仿宋"/>
          <w:color w:val="auto"/>
        </w:rPr>
        <w:br w:type="page"/>
      </w:r>
    </w:p>
    <w:p w14:paraId="696B1598">
      <w:pPr>
        <w:spacing w:line="360" w:lineRule="auto"/>
        <w:outlineLvl w:val="9"/>
        <w:rPr>
          <w:rFonts w:hint="eastAsia" w:ascii="仿宋" w:hAnsi="仿宋" w:eastAsia="仿宋" w:cs="仿宋"/>
          <w:b/>
          <w:bCs/>
          <w:color w:val="auto"/>
          <w:sz w:val="24"/>
          <w:szCs w:val="28"/>
        </w:rPr>
      </w:pPr>
      <w:r>
        <w:rPr>
          <w:rFonts w:hint="eastAsia" w:ascii="仿宋" w:hAnsi="仿宋" w:eastAsia="仿宋" w:cs="仿宋"/>
          <w:b/>
          <w:bCs/>
          <w:color w:val="auto"/>
          <w:sz w:val="24"/>
          <w:szCs w:val="28"/>
        </w:rPr>
        <w:t>2.技术标准与要求</w:t>
      </w:r>
    </w:p>
    <w:tbl>
      <w:tblPr>
        <w:tblStyle w:val="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5"/>
        <w:gridCol w:w="455"/>
        <w:gridCol w:w="1502"/>
        <w:gridCol w:w="559"/>
        <w:gridCol w:w="682"/>
        <w:gridCol w:w="1581"/>
        <w:gridCol w:w="1436"/>
        <w:gridCol w:w="813"/>
        <w:gridCol w:w="1036"/>
      </w:tblGrid>
      <w:tr w14:paraId="2A6D4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7" w:type="pct"/>
            <w:vAlign w:val="center"/>
          </w:tcPr>
          <w:p w14:paraId="69EED7B9">
            <w:pPr>
              <w:autoSpaceDE w:val="0"/>
              <w:autoSpaceDN w:val="0"/>
              <w:spacing w:line="360" w:lineRule="auto"/>
              <w:jc w:val="center"/>
              <w:rPr>
                <w:rFonts w:hint="eastAsia" w:ascii="仿宋" w:hAnsi="仿宋" w:eastAsia="仿宋" w:cs="仿宋"/>
                <w:color w:val="auto"/>
                <w:kern w:val="0"/>
                <w:sz w:val="24"/>
              </w:rPr>
            </w:pPr>
            <w:r>
              <w:rPr>
                <w:rFonts w:hint="eastAsia" w:ascii="仿宋" w:hAnsi="仿宋" w:eastAsia="仿宋" w:cs="仿宋"/>
                <w:color w:val="auto"/>
                <w:kern w:val="0"/>
                <w:sz w:val="24"/>
              </w:rPr>
              <w:t>序号</w:t>
            </w:r>
          </w:p>
        </w:tc>
        <w:tc>
          <w:tcPr>
            <w:tcW w:w="267" w:type="pct"/>
            <w:vAlign w:val="center"/>
          </w:tcPr>
          <w:p w14:paraId="554A0DBC">
            <w:pPr>
              <w:autoSpaceDE w:val="0"/>
              <w:autoSpaceDN w:val="0"/>
              <w:spacing w:line="360" w:lineRule="auto"/>
              <w:jc w:val="center"/>
              <w:rPr>
                <w:rFonts w:hint="eastAsia" w:ascii="仿宋" w:hAnsi="仿宋" w:eastAsia="仿宋" w:cs="仿宋"/>
                <w:color w:val="auto"/>
                <w:kern w:val="0"/>
                <w:sz w:val="24"/>
              </w:rPr>
            </w:pPr>
            <w:r>
              <w:rPr>
                <w:rFonts w:hint="eastAsia" w:ascii="仿宋" w:hAnsi="仿宋" w:eastAsia="仿宋" w:cs="仿宋"/>
                <w:color w:val="auto"/>
                <w:kern w:val="0"/>
                <w:sz w:val="24"/>
              </w:rPr>
              <w:t>品目名称</w:t>
            </w:r>
          </w:p>
        </w:tc>
        <w:tc>
          <w:tcPr>
            <w:tcW w:w="881" w:type="pct"/>
            <w:vAlign w:val="center"/>
          </w:tcPr>
          <w:p w14:paraId="4E5B29D8">
            <w:pPr>
              <w:autoSpaceDE w:val="0"/>
              <w:autoSpaceDN w:val="0"/>
              <w:spacing w:line="360" w:lineRule="auto"/>
              <w:jc w:val="center"/>
              <w:rPr>
                <w:rFonts w:hint="eastAsia" w:ascii="仿宋" w:hAnsi="仿宋" w:eastAsia="仿宋" w:cs="仿宋"/>
                <w:color w:val="auto"/>
                <w:kern w:val="0"/>
                <w:sz w:val="24"/>
              </w:rPr>
            </w:pPr>
            <w:r>
              <w:rPr>
                <w:rFonts w:hint="eastAsia" w:ascii="仿宋" w:hAnsi="仿宋" w:eastAsia="仿宋" w:cs="仿宋"/>
                <w:color w:val="auto"/>
                <w:kern w:val="0"/>
                <w:sz w:val="24"/>
              </w:rPr>
              <w:t>标的名称</w:t>
            </w:r>
          </w:p>
        </w:tc>
        <w:tc>
          <w:tcPr>
            <w:tcW w:w="328" w:type="pct"/>
            <w:vAlign w:val="center"/>
          </w:tcPr>
          <w:p w14:paraId="0EFACB0B">
            <w:pPr>
              <w:autoSpaceDE w:val="0"/>
              <w:autoSpaceDN w:val="0"/>
              <w:spacing w:line="360" w:lineRule="auto"/>
              <w:jc w:val="center"/>
              <w:rPr>
                <w:rFonts w:hint="eastAsia" w:ascii="仿宋" w:hAnsi="仿宋" w:eastAsia="仿宋" w:cs="仿宋"/>
                <w:color w:val="auto"/>
                <w:kern w:val="0"/>
                <w:sz w:val="24"/>
              </w:rPr>
            </w:pPr>
            <w:r>
              <w:rPr>
                <w:rFonts w:hint="eastAsia" w:ascii="仿宋" w:hAnsi="仿宋" w:eastAsia="仿宋" w:cs="仿宋"/>
                <w:color w:val="auto"/>
                <w:kern w:val="0"/>
                <w:sz w:val="24"/>
              </w:rPr>
              <w:t>单位</w:t>
            </w:r>
          </w:p>
        </w:tc>
        <w:tc>
          <w:tcPr>
            <w:tcW w:w="400" w:type="pct"/>
            <w:vAlign w:val="center"/>
          </w:tcPr>
          <w:p w14:paraId="0B3CBD58">
            <w:pPr>
              <w:autoSpaceDE w:val="0"/>
              <w:autoSpaceDN w:val="0"/>
              <w:spacing w:line="360" w:lineRule="auto"/>
              <w:jc w:val="center"/>
              <w:rPr>
                <w:rFonts w:hint="eastAsia" w:ascii="仿宋" w:hAnsi="仿宋" w:eastAsia="仿宋" w:cs="仿宋"/>
                <w:color w:val="auto"/>
                <w:kern w:val="0"/>
                <w:sz w:val="24"/>
              </w:rPr>
            </w:pPr>
            <w:r>
              <w:rPr>
                <w:rFonts w:hint="eastAsia" w:ascii="仿宋" w:hAnsi="仿宋" w:eastAsia="仿宋" w:cs="仿宋"/>
                <w:color w:val="auto"/>
                <w:kern w:val="0"/>
                <w:sz w:val="24"/>
              </w:rPr>
              <w:t>数量</w:t>
            </w:r>
          </w:p>
        </w:tc>
        <w:tc>
          <w:tcPr>
            <w:tcW w:w="927" w:type="pct"/>
            <w:vAlign w:val="center"/>
          </w:tcPr>
          <w:p w14:paraId="414F2A0B">
            <w:pPr>
              <w:autoSpaceDE w:val="0"/>
              <w:autoSpaceDN w:val="0"/>
              <w:spacing w:line="360" w:lineRule="auto"/>
              <w:jc w:val="center"/>
              <w:rPr>
                <w:rFonts w:hint="eastAsia" w:ascii="仿宋" w:hAnsi="仿宋" w:eastAsia="仿宋" w:cs="仿宋"/>
                <w:color w:val="auto"/>
                <w:kern w:val="0"/>
                <w:sz w:val="24"/>
              </w:rPr>
            </w:pPr>
            <w:r>
              <w:rPr>
                <w:rFonts w:hint="eastAsia" w:ascii="仿宋" w:hAnsi="仿宋" w:eastAsia="仿宋" w:cs="仿宋"/>
                <w:color w:val="auto"/>
                <w:kern w:val="0"/>
                <w:sz w:val="24"/>
              </w:rPr>
              <w:t>分项预算单价（元）</w:t>
            </w:r>
          </w:p>
        </w:tc>
        <w:tc>
          <w:tcPr>
            <w:tcW w:w="842" w:type="pct"/>
            <w:vAlign w:val="center"/>
          </w:tcPr>
          <w:p w14:paraId="6852E575">
            <w:pPr>
              <w:autoSpaceDE w:val="0"/>
              <w:autoSpaceDN w:val="0"/>
              <w:spacing w:line="360" w:lineRule="auto"/>
              <w:jc w:val="center"/>
              <w:rPr>
                <w:rFonts w:hint="eastAsia" w:ascii="仿宋" w:hAnsi="仿宋" w:eastAsia="仿宋" w:cs="仿宋"/>
                <w:color w:val="auto"/>
                <w:kern w:val="0"/>
                <w:sz w:val="24"/>
              </w:rPr>
            </w:pPr>
            <w:r>
              <w:rPr>
                <w:rFonts w:hint="eastAsia" w:ascii="仿宋" w:hAnsi="仿宋" w:eastAsia="仿宋" w:cs="仿宋"/>
                <w:color w:val="auto"/>
                <w:kern w:val="0"/>
                <w:sz w:val="24"/>
              </w:rPr>
              <w:t>分项预算总价（元）</w:t>
            </w:r>
          </w:p>
        </w:tc>
        <w:tc>
          <w:tcPr>
            <w:tcW w:w="477" w:type="pct"/>
            <w:vAlign w:val="center"/>
          </w:tcPr>
          <w:p w14:paraId="69210F1B">
            <w:pPr>
              <w:autoSpaceDE w:val="0"/>
              <w:autoSpaceDN w:val="0"/>
              <w:spacing w:line="360" w:lineRule="auto"/>
              <w:jc w:val="center"/>
              <w:rPr>
                <w:rFonts w:hint="default"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所属行业</w:t>
            </w:r>
          </w:p>
        </w:tc>
        <w:tc>
          <w:tcPr>
            <w:tcW w:w="608" w:type="pct"/>
            <w:vAlign w:val="center"/>
          </w:tcPr>
          <w:p w14:paraId="267F476A">
            <w:pPr>
              <w:autoSpaceDE w:val="0"/>
              <w:autoSpaceDN w:val="0"/>
              <w:spacing w:line="360" w:lineRule="auto"/>
              <w:jc w:val="center"/>
              <w:rPr>
                <w:rFonts w:hint="eastAsia" w:ascii="仿宋" w:hAnsi="仿宋" w:eastAsia="仿宋" w:cs="仿宋"/>
                <w:color w:val="auto"/>
                <w:kern w:val="0"/>
                <w:sz w:val="24"/>
              </w:rPr>
            </w:pPr>
            <w:r>
              <w:rPr>
                <w:rFonts w:hint="eastAsia" w:ascii="仿宋" w:hAnsi="仿宋" w:eastAsia="仿宋" w:cs="仿宋"/>
                <w:color w:val="auto"/>
                <w:kern w:val="0"/>
                <w:sz w:val="24"/>
              </w:rPr>
              <w:t>技术</w:t>
            </w:r>
          </w:p>
          <w:p w14:paraId="405DBF55">
            <w:pPr>
              <w:autoSpaceDE w:val="0"/>
              <w:autoSpaceDN w:val="0"/>
              <w:spacing w:line="360" w:lineRule="auto"/>
              <w:jc w:val="center"/>
              <w:rPr>
                <w:rFonts w:hint="eastAsia" w:ascii="仿宋" w:hAnsi="仿宋" w:eastAsia="仿宋" w:cs="仿宋"/>
                <w:color w:val="auto"/>
                <w:kern w:val="0"/>
                <w:sz w:val="24"/>
              </w:rPr>
            </w:pPr>
            <w:r>
              <w:rPr>
                <w:rFonts w:hint="eastAsia" w:ascii="仿宋" w:hAnsi="仿宋" w:eastAsia="仿宋" w:cs="仿宋"/>
                <w:color w:val="auto"/>
                <w:kern w:val="0"/>
                <w:sz w:val="24"/>
              </w:rPr>
              <w:t>要求</w:t>
            </w:r>
          </w:p>
        </w:tc>
      </w:tr>
      <w:tr w14:paraId="5363F2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7" w:type="pct"/>
            <w:vAlign w:val="center"/>
          </w:tcPr>
          <w:p w14:paraId="6A8F5A67">
            <w:pPr>
              <w:autoSpaceDE w:val="0"/>
              <w:autoSpaceDN w:val="0"/>
              <w:spacing w:line="360" w:lineRule="auto"/>
              <w:jc w:val="center"/>
              <w:rPr>
                <w:rFonts w:hint="eastAsia" w:ascii="仿宋" w:hAnsi="仿宋" w:eastAsia="仿宋" w:cs="仿宋"/>
                <w:color w:val="auto"/>
                <w:kern w:val="0"/>
                <w:sz w:val="24"/>
              </w:rPr>
            </w:pPr>
            <w:r>
              <w:rPr>
                <w:rFonts w:hint="eastAsia" w:ascii="仿宋" w:hAnsi="仿宋" w:eastAsia="仿宋" w:cs="仿宋"/>
                <w:color w:val="auto"/>
                <w:kern w:val="0"/>
                <w:sz w:val="24"/>
              </w:rPr>
              <w:t>1</w:t>
            </w:r>
          </w:p>
        </w:tc>
        <w:tc>
          <w:tcPr>
            <w:tcW w:w="267" w:type="pct"/>
            <w:vAlign w:val="center"/>
          </w:tcPr>
          <w:p w14:paraId="44533CE5">
            <w:pPr>
              <w:autoSpaceDE w:val="0"/>
              <w:autoSpaceDN w:val="0"/>
              <w:spacing w:line="360" w:lineRule="auto"/>
              <w:jc w:val="center"/>
              <w:rPr>
                <w:rFonts w:hint="eastAsia" w:ascii="仿宋" w:hAnsi="仿宋" w:eastAsia="仿宋" w:cs="仿宋"/>
                <w:color w:val="auto"/>
                <w:kern w:val="0"/>
                <w:sz w:val="24"/>
              </w:rPr>
            </w:pPr>
            <w:r>
              <w:rPr>
                <w:rFonts w:hint="eastAsia" w:ascii="仿宋" w:hAnsi="仿宋" w:eastAsia="仿宋" w:cs="仿宋"/>
                <w:color w:val="auto"/>
                <w:kern w:val="0"/>
                <w:sz w:val="24"/>
                <w:szCs w:val="24"/>
                <w:lang w:val="en-US" w:eastAsia="zh-CN"/>
              </w:rPr>
              <w:t>其他服务</w:t>
            </w:r>
          </w:p>
        </w:tc>
        <w:tc>
          <w:tcPr>
            <w:tcW w:w="881" w:type="pct"/>
            <w:vAlign w:val="center"/>
          </w:tcPr>
          <w:p w14:paraId="349F006C">
            <w:pPr>
              <w:autoSpaceDE w:val="0"/>
              <w:autoSpaceDN w:val="0"/>
              <w:spacing w:line="360" w:lineRule="auto"/>
              <w:jc w:val="center"/>
              <w:rPr>
                <w:rFonts w:hint="eastAsia" w:ascii="仿宋" w:hAnsi="仿宋" w:eastAsia="仿宋" w:cs="仿宋"/>
                <w:color w:val="auto"/>
                <w:kern w:val="0"/>
                <w:sz w:val="24"/>
              </w:rPr>
            </w:pPr>
            <w:r>
              <w:rPr>
                <w:rFonts w:hint="eastAsia" w:ascii="仿宋" w:hAnsi="仿宋" w:eastAsia="仿宋" w:cs="仿宋"/>
                <w:color w:val="auto"/>
                <w:kern w:val="0"/>
                <w:sz w:val="24"/>
                <w:lang w:eastAsia="zh-CN"/>
              </w:rPr>
              <w:t>2024-2026年生活垃圾分类第三方评估项目</w:t>
            </w:r>
          </w:p>
        </w:tc>
        <w:tc>
          <w:tcPr>
            <w:tcW w:w="328" w:type="pct"/>
            <w:vAlign w:val="center"/>
          </w:tcPr>
          <w:p w14:paraId="49A35AE2">
            <w:pPr>
              <w:autoSpaceDE w:val="0"/>
              <w:autoSpaceDN w:val="0"/>
              <w:spacing w:line="360" w:lineRule="auto"/>
              <w:jc w:val="center"/>
              <w:rPr>
                <w:rFonts w:hint="default"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项</w:t>
            </w:r>
          </w:p>
        </w:tc>
        <w:tc>
          <w:tcPr>
            <w:tcW w:w="400" w:type="pct"/>
            <w:vAlign w:val="center"/>
          </w:tcPr>
          <w:p w14:paraId="75967FBC">
            <w:pPr>
              <w:autoSpaceDE w:val="0"/>
              <w:autoSpaceDN w:val="0"/>
              <w:spacing w:line="360" w:lineRule="auto"/>
              <w:jc w:val="center"/>
              <w:rPr>
                <w:rFonts w:hint="default"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1</w:t>
            </w:r>
          </w:p>
        </w:tc>
        <w:tc>
          <w:tcPr>
            <w:tcW w:w="927" w:type="pct"/>
            <w:vAlign w:val="center"/>
          </w:tcPr>
          <w:p w14:paraId="09774634">
            <w:pPr>
              <w:autoSpaceDE w:val="0"/>
              <w:autoSpaceDN w:val="0"/>
              <w:spacing w:line="360" w:lineRule="auto"/>
              <w:jc w:val="center"/>
              <w:rPr>
                <w:rFonts w:hint="default" w:ascii="仿宋" w:hAnsi="仿宋" w:eastAsia="仿宋" w:cs="仿宋"/>
                <w:color w:val="auto"/>
                <w:kern w:val="0"/>
                <w:sz w:val="24"/>
                <w:u w:val="none"/>
                <w:lang w:val="en-US" w:eastAsia="zh-CN"/>
              </w:rPr>
            </w:pPr>
            <w:r>
              <w:rPr>
                <w:rFonts w:hint="eastAsia" w:ascii="仿宋" w:hAnsi="仿宋" w:eastAsia="仿宋" w:cs="仿宋"/>
                <w:color w:val="auto"/>
                <w:kern w:val="0"/>
                <w:sz w:val="24"/>
                <w:szCs w:val="24"/>
                <w:u w:val="none"/>
                <w:lang w:val="en-US" w:eastAsia="zh-CN"/>
              </w:rPr>
              <w:t>27,000,000</w:t>
            </w:r>
          </w:p>
        </w:tc>
        <w:tc>
          <w:tcPr>
            <w:tcW w:w="842" w:type="pct"/>
            <w:vAlign w:val="center"/>
          </w:tcPr>
          <w:p w14:paraId="330317D9">
            <w:pPr>
              <w:autoSpaceDE w:val="0"/>
              <w:autoSpaceDN w:val="0"/>
              <w:spacing w:line="360" w:lineRule="auto"/>
              <w:jc w:val="center"/>
              <w:rPr>
                <w:rFonts w:hint="eastAsia" w:ascii="仿宋" w:hAnsi="仿宋" w:eastAsia="仿宋" w:cs="仿宋"/>
                <w:color w:val="auto"/>
                <w:kern w:val="0"/>
                <w:sz w:val="24"/>
                <w:u w:val="none"/>
              </w:rPr>
            </w:pPr>
            <w:r>
              <w:rPr>
                <w:rFonts w:hint="eastAsia" w:ascii="仿宋" w:hAnsi="仿宋" w:eastAsia="仿宋" w:cs="仿宋"/>
                <w:color w:val="auto"/>
                <w:kern w:val="0"/>
                <w:sz w:val="24"/>
                <w:szCs w:val="24"/>
                <w:u w:val="none"/>
                <w:lang w:val="en-US" w:eastAsia="zh-CN"/>
              </w:rPr>
              <w:t>27,000,000</w:t>
            </w:r>
          </w:p>
        </w:tc>
        <w:tc>
          <w:tcPr>
            <w:tcW w:w="477" w:type="pct"/>
            <w:vAlign w:val="center"/>
          </w:tcPr>
          <w:p w14:paraId="6102995D">
            <w:pPr>
              <w:autoSpaceDE w:val="0"/>
              <w:autoSpaceDN w:val="0"/>
              <w:spacing w:line="360" w:lineRule="auto"/>
              <w:jc w:val="center"/>
              <w:rPr>
                <w:rFonts w:hint="default" w:ascii="仿宋" w:hAnsi="仿宋" w:eastAsia="仿宋" w:cs="仿宋"/>
                <w:color w:val="auto"/>
                <w:kern w:val="0"/>
                <w:sz w:val="24"/>
                <w:u w:val="none"/>
                <w:lang w:val="en-US" w:eastAsia="zh-CN"/>
              </w:rPr>
            </w:pPr>
            <w:r>
              <w:rPr>
                <w:rFonts w:hint="eastAsia" w:ascii="仿宋" w:hAnsi="仿宋" w:eastAsia="仿宋" w:cs="仿宋"/>
                <w:color w:val="auto"/>
                <w:kern w:val="0"/>
                <w:sz w:val="24"/>
                <w:u w:val="none"/>
                <w:lang w:val="en-US" w:eastAsia="zh-CN"/>
              </w:rPr>
              <w:t>其他未列明行业</w:t>
            </w:r>
          </w:p>
        </w:tc>
        <w:tc>
          <w:tcPr>
            <w:tcW w:w="608" w:type="pct"/>
            <w:vAlign w:val="center"/>
          </w:tcPr>
          <w:p w14:paraId="67C05196">
            <w:pPr>
              <w:autoSpaceDE w:val="0"/>
              <w:autoSpaceDN w:val="0"/>
              <w:spacing w:line="360" w:lineRule="auto"/>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详见附表一</w:t>
            </w:r>
          </w:p>
        </w:tc>
      </w:tr>
    </w:tbl>
    <w:p w14:paraId="5EA9A5BE">
      <w:pPr>
        <w:autoSpaceDE w:val="0"/>
        <w:autoSpaceDN w:val="0"/>
        <w:adjustRightInd w:val="0"/>
        <w:spacing w:line="360" w:lineRule="auto"/>
        <w:jc w:val="left"/>
        <w:rPr>
          <w:rFonts w:hint="eastAsia" w:ascii="仿宋" w:hAnsi="仿宋" w:eastAsia="仿宋" w:cs="仿宋"/>
          <w:color w:val="auto"/>
          <w:kern w:val="0"/>
          <w:sz w:val="24"/>
          <w:szCs w:val="24"/>
        </w:rPr>
      </w:pPr>
      <w:bookmarkStart w:id="7" w:name="_GoBack"/>
      <w:bookmarkEnd w:id="7"/>
    </w:p>
    <w:p w14:paraId="717D0871">
      <w:pPr>
        <w:spacing w:line="360" w:lineRule="auto"/>
        <w:outlineLvl w:val="9"/>
        <w:rPr>
          <w:rFonts w:hint="eastAsia" w:ascii="仿宋" w:hAnsi="仿宋" w:eastAsia="仿宋" w:cs="仿宋"/>
          <w:b/>
          <w:bCs/>
          <w:color w:val="auto"/>
          <w:sz w:val="24"/>
          <w:szCs w:val="28"/>
        </w:rPr>
      </w:pPr>
      <w:r>
        <w:rPr>
          <w:rFonts w:hint="eastAsia" w:ascii="仿宋" w:hAnsi="仿宋" w:eastAsia="仿宋" w:cs="仿宋"/>
          <w:b/>
          <w:bCs/>
          <w:color w:val="auto"/>
          <w:sz w:val="24"/>
          <w:szCs w:val="28"/>
        </w:rPr>
        <w:t>附表一：（</w:t>
      </w:r>
      <w:bookmarkStart w:id="3" w:name="OLE_LINK16"/>
      <w:r>
        <w:rPr>
          <w:rFonts w:hint="eastAsia" w:ascii="仿宋" w:hAnsi="仿宋" w:eastAsia="仿宋" w:cs="仿宋"/>
          <w:b/>
          <w:bCs/>
          <w:color w:val="auto"/>
          <w:sz w:val="24"/>
          <w:szCs w:val="28"/>
          <w:lang w:eastAsia="zh-CN"/>
        </w:rPr>
        <w:t>2024-2026年生活垃圾分类第三方评估项目</w:t>
      </w:r>
      <w:bookmarkEnd w:id="3"/>
      <w:r>
        <w:rPr>
          <w:rFonts w:hint="eastAsia" w:ascii="仿宋" w:hAnsi="仿宋" w:eastAsia="仿宋" w:cs="仿宋"/>
          <w:b/>
          <w:bCs/>
          <w:color w:val="auto"/>
          <w:sz w:val="24"/>
          <w:szCs w:val="28"/>
        </w:rPr>
        <w:t>）</w:t>
      </w:r>
    </w:p>
    <w:tbl>
      <w:tblPr>
        <w:tblStyle w:val="6"/>
        <w:tblW w:w="86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7"/>
        <w:gridCol w:w="721"/>
        <w:gridCol w:w="6590"/>
      </w:tblGrid>
      <w:tr w14:paraId="2210D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387" w:type="dxa"/>
            <w:vAlign w:val="center"/>
          </w:tcPr>
          <w:p w14:paraId="788A11C6">
            <w:pPr>
              <w:autoSpaceDE w:val="0"/>
              <w:autoSpaceDN w:val="0"/>
              <w:adjustRightInd w:val="0"/>
              <w:spacing w:line="360" w:lineRule="auto"/>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参数性质</w:t>
            </w:r>
          </w:p>
        </w:tc>
        <w:tc>
          <w:tcPr>
            <w:tcW w:w="721" w:type="dxa"/>
            <w:vAlign w:val="center"/>
          </w:tcPr>
          <w:p w14:paraId="54C88D10">
            <w:pPr>
              <w:autoSpaceDE w:val="0"/>
              <w:autoSpaceDN w:val="0"/>
              <w:adjustRightInd w:val="0"/>
              <w:spacing w:line="360" w:lineRule="auto"/>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序号</w:t>
            </w:r>
          </w:p>
        </w:tc>
        <w:tc>
          <w:tcPr>
            <w:tcW w:w="6590" w:type="dxa"/>
            <w:vAlign w:val="center"/>
          </w:tcPr>
          <w:p w14:paraId="6270C170">
            <w:pPr>
              <w:autoSpaceDE w:val="0"/>
              <w:autoSpaceDN w:val="0"/>
              <w:adjustRightInd w:val="0"/>
              <w:spacing w:line="360" w:lineRule="auto"/>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具体技术(参数)要求</w:t>
            </w:r>
          </w:p>
        </w:tc>
      </w:tr>
      <w:tr w14:paraId="67EF9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387" w:type="dxa"/>
            <w:vAlign w:val="center"/>
          </w:tcPr>
          <w:p w14:paraId="130B81C1">
            <w:pPr>
              <w:autoSpaceDE w:val="0"/>
              <w:autoSpaceDN w:val="0"/>
              <w:adjustRightInd w:val="0"/>
              <w:spacing w:line="360" w:lineRule="auto"/>
              <w:jc w:val="center"/>
              <w:rPr>
                <w:rFonts w:hint="eastAsia" w:ascii="仿宋" w:hAnsi="仿宋" w:eastAsia="仿宋" w:cs="仿宋"/>
                <w:color w:val="auto"/>
                <w:kern w:val="0"/>
                <w:sz w:val="24"/>
                <w:szCs w:val="24"/>
              </w:rPr>
            </w:pPr>
          </w:p>
        </w:tc>
        <w:tc>
          <w:tcPr>
            <w:tcW w:w="721" w:type="dxa"/>
            <w:vAlign w:val="center"/>
          </w:tcPr>
          <w:p w14:paraId="60CE147D">
            <w:pPr>
              <w:pStyle w:val="10"/>
              <w:numPr>
                <w:ilvl w:val="0"/>
                <w:numId w:val="0"/>
              </w:numPr>
              <w:autoSpaceDE w:val="0"/>
              <w:autoSpaceDN w:val="0"/>
              <w:spacing w:line="360" w:lineRule="auto"/>
              <w:ind w:leftChars="0"/>
              <w:jc w:val="center"/>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1</w:t>
            </w:r>
          </w:p>
        </w:tc>
        <w:tc>
          <w:tcPr>
            <w:tcW w:w="6590" w:type="dxa"/>
            <w:vAlign w:val="center"/>
          </w:tcPr>
          <w:p w14:paraId="6A7D711D">
            <w:pPr>
              <w:autoSpaceDE w:val="0"/>
              <w:autoSpaceDN w:val="0"/>
              <w:adjustRightInd w:val="0"/>
              <w:spacing w:line="360" w:lineRule="auto"/>
              <w:jc w:val="both"/>
              <w:rPr>
                <w:rFonts w:hint="eastAsia" w:ascii="仿宋" w:hAnsi="仿宋" w:eastAsia="仿宋" w:cs="仿宋"/>
                <w:b/>
                <w:bCs/>
                <w:color w:val="auto"/>
                <w:kern w:val="0"/>
                <w:sz w:val="24"/>
                <w:szCs w:val="24"/>
                <w:lang w:val="en-US" w:eastAsia="zh-CN"/>
              </w:rPr>
            </w:pPr>
            <w:r>
              <w:rPr>
                <w:rFonts w:hint="default" w:ascii="仿宋" w:hAnsi="仿宋" w:eastAsia="仿宋" w:cs="仿宋"/>
                <w:b/>
                <w:bCs/>
                <w:color w:val="auto"/>
                <w:kern w:val="0"/>
                <w:sz w:val="24"/>
                <w:szCs w:val="24"/>
                <w:lang w:val="en-US" w:eastAsia="zh-CN"/>
              </w:rPr>
              <w:t>项目服务内容和要求</w:t>
            </w:r>
            <w:r>
              <w:rPr>
                <w:rFonts w:hint="eastAsia" w:ascii="仿宋" w:hAnsi="仿宋" w:eastAsia="仿宋" w:cs="仿宋"/>
                <w:b/>
                <w:bCs/>
                <w:color w:val="auto"/>
                <w:kern w:val="0"/>
                <w:sz w:val="24"/>
                <w:szCs w:val="24"/>
                <w:lang w:val="en-US" w:eastAsia="zh-CN"/>
              </w:rPr>
              <w:t>：</w:t>
            </w:r>
          </w:p>
          <w:p w14:paraId="67281A56">
            <w:pPr>
              <w:numPr>
                <w:ilvl w:val="0"/>
                <w:numId w:val="2"/>
              </w:numPr>
              <w:autoSpaceDE w:val="0"/>
              <w:autoSpaceDN w:val="0"/>
              <w:adjustRightInd w:val="0"/>
              <w:spacing w:line="360" w:lineRule="auto"/>
              <w:ind w:firstLine="482" w:firstLineChars="200"/>
              <w:jc w:val="both"/>
              <w:rPr>
                <w:rFonts w:hint="eastAsia" w:ascii="仿宋" w:hAnsi="仿宋" w:eastAsia="仿宋" w:cs="仿宋"/>
                <w:b/>
                <w:bCs/>
                <w:color w:val="auto"/>
                <w:kern w:val="0"/>
                <w:sz w:val="24"/>
                <w:szCs w:val="24"/>
                <w:lang w:val="en-US" w:eastAsia="zh-CN"/>
              </w:rPr>
            </w:pPr>
            <w:r>
              <w:rPr>
                <w:rFonts w:hint="eastAsia" w:ascii="仿宋" w:hAnsi="仿宋" w:eastAsia="仿宋" w:cs="仿宋"/>
                <w:b/>
                <w:bCs/>
                <w:color w:val="auto"/>
                <w:kern w:val="0"/>
                <w:sz w:val="24"/>
                <w:szCs w:val="24"/>
                <w:lang w:val="en-US" w:eastAsia="zh-CN"/>
              </w:rPr>
              <w:t>城区常态化评估：</w:t>
            </w:r>
          </w:p>
          <w:p w14:paraId="16735AE9">
            <w:pPr>
              <w:numPr>
                <w:ilvl w:val="0"/>
                <w:numId w:val="0"/>
              </w:numPr>
              <w:autoSpaceDE w:val="0"/>
              <w:autoSpaceDN w:val="0"/>
              <w:adjustRightInd w:val="0"/>
              <w:spacing w:line="360" w:lineRule="auto"/>
              <w:ind w:firstLine="480" w:firstLineChars="200"/>
              <w:jc w:val="both"/>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①每个镇街每月评估不少于24个（次）单位（复检单位另算，且当月评估的单位不能重复，特殊情况除外），原则上评估单位类型包括机团单位、经营区域、公共场所、居住小区（每2个投放点划算成1个居住小区）。</w:t>
            </w:r>
          </w:p>
          <w:p w14:paraId="7DD27CBF">
            <w:pPr>
              <w:numPr>
                <w:ilvl w:val="0"/>
                <w:numId w:val="0"/>
              </w:numPr>
              <w:autoSpaceDE w:val="0"/>
              <w:autoSpaceDN w:val="0"/>
              <w:adjustRightInd w:val="0"/>
              <w:spacing w:line="360" w:lineRule="auto"/>
              <w:ind w:firstLine="480" w:firstLineChars="200"/>
              <w:jc w:val="both"/>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②2024年至2026年，共计3年巡查不少于152928个（次）单位，则每年巡查不少于50976个（次）单位。</w:t>
            </w:r>
          </w:p>
          <w:p w14:paraId="3816CD74">
            <w:pPr>
              <w:numPr>
                <w:ilvl w:val="0"/>
                <w:numId w:val="0"/>
              </w:numPr>
              <w:autoSpaceDE w:val="0"/>
              <w:autoSpaceDN w:val="0"/>
              <w:adjustRightInd w:val="0"/>
              <w:spacing w:line="360" w:lineRule="auto"/>
              <w:ind w:firstLine="480" w:firstLineChars="200"/>
              <w:jc w:val="both"/>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③对于上月评估不合格的单位（上月评估分数低于60分），列入下月复检名单（复检单位不得在每月评估名单内），进行评估。</w:t>
            </w:r>
          </w:p>
          <w:p w14:paraId="49C19E80">
            <w:pPr>
              <w:numPr>
                <w:ilvl w:val="0"/>
                <w:numId w:val="0"/>
              </w:numPr>
              <w:autoSpaceDE w:val="0"/>
              <w:autoSpaceDN w:val="0"/>
              <w:adjustRightInd w:val="0"/>
              <w:spacing w:line="360" w:lineRule="auto"/>
              <w:ind w:firstLine="480" w:firstLineChars="200"/>
              <w:jc w:val="both"/>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④每月5号前向采购人提供上月评估情况、统计数据、书面报告；每季度结束后5个工作日内提供上季度评估、统计数据和书面报告，并将相关资料进行归档。</w:t>
            </w:r>
          </w:p>
          <w:p w14:paraId="263E6B58">
            <w:pPr>
              <w:numPr>
                <w:ilvl w:val="0"/>
                <w:numId w:val="2"/>
              </w:numPr>
              <w:autoSpaceDE w:val="0"/>
              <w:autoSpaceDN w:val="0"/>
              <w:adjustRightInd w:val="0"/>
              <w:spacing w:line="360" w:lineRule="auto"/>
              <w:ind w:firstLine="482" w:firstLineChars="200"/>
              <w:jc w:val="both"/>
              <w:rPr>
                <w:rFonts w:hint="eastAsia" w:ascii="仿宋" w:hAnsi="仿宋" w:eastAsia="仿宋" w:cs="仿宋"/>
                <w:b/>
                <w:bCs/>
                <w:color w:val="auto"/>
                <w:kern w:val="0"/>
                <w:sz w:val="24"/>
                <w:szCs w:val="24"/>
                <w:lang w:val="en-US" w:eastAsia="zh-CN"/>
              </w:rPr>
            </w:pPr>
            <w:r>
              <w:rPr>
                <w:rFonts w:hint="eastAsia" w:ascii="仿宋" w:hAnsi="仿宋" w:eastAsia="仿宋" w:cs="仿宋"/>
                <w:b/>
                <w:bCs/>
                <w:color w:val="auto"/>
                <w:kern w:val="0"/>
                <w:sz w:val="24"/>
                <w:szCs w:val="24"/>
                <w:lang w:val="en-US" w:eastAsia="zh-CN"/>
              </w:rPr>
              <w:t>协助考核：</w:t>
            </w:r>
          </w:p>
          <w:p w14:paraId="4087AADF">
            <w:pPr>
              <w:numPr>
                <w:ilvl w:val="0"/>
                <w:numId w:val="0"/>
              </w:numPr>
              <w:autoSpaceDE w:val="0"/>
              <w:autoSpaceDN w:val="0"/>
              <w:adjustRightInd w:val="0"/>
              <w:spacing w:line="360" w:lineRule="auto"/>
              <w:ind w:firstLine="480" w:firstLineChars="200"/>
              <w:jc w:val="both"/>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定期协助采购人开展对全市11个区的生活垃圾处理工作考核，具体工作内容、要求由采购人而定。每季度通过问卷调查方式对辖区内每个镇街的居民知晓率、参与率和满意率进行调查（每个镇街随机调查50名居民），并形成调查报告。</w:t>
            </w:r>
          </w:p>
          <w:p w14:paraId="70862C8A">
            <w:pPr>
              <w:numPr>
                <w:ilvl w:val="0"/>
                <w:numId w:val="2"/>
              </w:numPr>
              <w:autoSpaceDE w:val="0"/>
              <w:autoSpaceDN w:val="0"/>
              <w:adjustRightInd w:val="0"/>
              <w:spacing w:line="360" w:lineRule="auto"/>
              <w:ind w:firstLine="482" w:firstLineChars="200"/>
              <w:jc w:val="both"/>
              <w:rPr>
                <w:rFonts w:hint="default" w:ascii="仿宋" w:hAnsi="仿宋" w:eastAsia="仿宋" w:cs="仿宋"/>
                <w:b/>
                <w:bCs/>
                <w:color w:val="auto"/>
                <w:kern w:val="0"/>
                <w:sz w:val="24"/>
                <w:szCs w:val="24"/>
                <w:lang w:val="en-US" w:eastAsia="zh-CN"/>
              </w:rPr>
            </w:pPr>
            <w:r>
              <w:rPr>
                <w:rFonts w:hint="eastAsia" w:ascii="仿宋" w:hAnsi="仿宋" w:eastAsia="仿宋" w:cs="仿宋"/>
                <w:b/>
                <w:bCs/>
                <w:color w:val="auto"/>
                <w:kern w:val="0"/>
                <w:sz w:val="24"/>
                <w:szCs w:val="24"/>
                <w:lang w:val="en-US" w:eastAsia="zh-CN"/>
              </w:rPr>
              <w:t>应急评估：</w:t>
            </w:r>
          </w:p>
          <w:p w14:paraId="6D093034">
            <w:pPr>
              <w:numPr>
                <w:ilvl w:val="0"/>
                <w:numId w:val="0"/>
              </w:numPr>
              <w:autoSpaceDE w:val="0"/>
              <w:autoSpaceDN w:val="0"/>
              <w:adjustRightInd w:val="0"/>
              <w:spacing w:line="360" w:lineRule="auto"/>
              <w:ind w:firstLine="480" w:firstLineChars="200"/>
              <w:jc w:val="both"/>
              <w:rPr>
                <w:rFonts w:hint="default"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完成采购人交办的各项应急评估，原则上评估单位类型包括机团单位、经营区域、公共场所、居住小区（投放点），每年应急评估不少于6000个（次）单位，具体评估标准、要求按当次应急评估所需而定。</w:t>
            </w:r>
          </w:p>
          <w:p w14:paraId="298A8186">
            <w:pPr>
              <w:numPr>
                <w:ilvl w:val="0"/>
                <w:numId w:val="2"/>
              </w:numPr>
              <w:autoSpaceDE w:val="0"/>
              <w:autoSpaceDN w:val="0"/>
              <w:adjustRightInd w:val="0"/>
              <w:spacing w:line="360" w:lineRule="auto"/>
              <w:ind w:firstLine="482" w:firstLineChars="200"/>
              <w:jc w:val="both"/>
              <w:rPr>
                <w:rFonts w:hint="default" w:ascii="仿宋" w:hAnsi="仿宋" w:eastAsia="仿宋" w:cs="仿宋"/>
                <w:b/>
                <w:bCs/>
                <w:color w:val="auto"/>
                <w:kern w:val="0"/>
                <w:sz w:val="24"/>
                <w:szCs w:val="24"/>
                <w:lang w:val="en-US" w:eastAsia="zh-CN"/>
              </w:rPr>
            </w:pPr>
            <w:r>
              <w:rPr>
                <w:rFonts w:hint="eastAsia" w:ascii="仿宋" w:hAnsi="仿宋" w:eastAsia="仿宋" w:cs="仿宋"/>
                <w:b/>
                <w:bCs/>
                <w:color w:val="auto"/>
                <w:kern w:val="0"/>
                <w:sz w:val="24"/>
                <w:szCs w:val="24"/>
                <w:lang w:val="en-US" w:eastAsia="zh-CN"/>
              </w:rPr>
              <w:t>农村常态化评估：</w:t>
            </w:r>
          </w:p>
          <w:p w14:paraId="6FF17A34">
            <w:pPr>
              <w:numPr>
                <w:ilvl w:val="0"/>
                <w:numId w:val="0"/>
              </w:numPr>
              <w:autoSpaceDE w:val="0"/>
              <w:autoSpaceDN w:val="0"/>
              <w:adjustRightInd w:val="0"/>
              <w:spacing w:line="360" w:lineRule="auto"/>
              <w:ind w:firstLine="480" w:firstLineChars="200"/>
              <w:jc w:val="both"/>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①采取数据台账核查、现场情况评估、整体情况比对等方式，对涉农七区727条农村生活垃圾分类资源化利用样板村及其余行政村（418条）进行评估，每月样板村评估数量不低于25%，对其他推行村评估数量不低于10%，全部样板村巡查完后按照原要求继续开展下一轮巡查。</w:t>
            </w:r>
          </w:p>
          <w:p w14:paraId="35AF9DBD">
            <w:pPr>
              <w:numPr>
                <w:ilvl w:val="0"/>
                <w:numId w:val="0"/>
              </w:numPr>
              <w:autoSpaceDE w:val="0"/>
              <w:autoSpaceDN w:val="0"/>
              <w:adjustRightInd w:val="0"/>
              <w:spacing w:line="360" w:lineRule="auto"/>
              <w:ind w:firstLine="480" w:firstLineChars="200"/>
              <w:jc w:val="both"/>
              <w:rPr>
                <w:rFonts w:hint="default"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②主要评估体制建设、宣传引导、长效管理、品质提升等内容，对发现的问题拍照取证，每月5号前、每季度结束后5个工作日内向采购人提供阶段性报告，验收完成后5个工作日内提供综合报告、情况通报，并将相关资料进行归档。</w:t>
            </w:r>
          </w:p>
        </w:tc>
      </w:tr>
      <w:tr w14:paraId="4AF46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387" w:type="dxa"/>
            <w:vAlign w:val="center"/>
          </w:tcPr>
          <w:p w14:paraId="697814EF">
            <w:pPr>
              <w:autoSpaceDE w:val="0"/>
              <w:autoSpaceDN w:val="0"/>
              <w:adjustRightInd w:val="0"/>
              <w:spacing w:line="360" w:lineRule="auto"/>
              <w:jc w:val="center"/>
              <w:rPr>
                <w:rFonts w:hint="eastAsia" w:ascii="仿宋" w:hAnsi="仿宋" w:eastAsia="仿宋" w:cs="仿宋"/>
                <w:color w:val="auto"/>
                <w:kern w:val="0"/>
                <w:sz w:val="24"/>
                <w:szCs w:val="24"/>
              </w:rPr>
            </w:pPr>
          </w:p>
        </w:tc>
        <w:tc>
          <w:tcPr>
            <w:tcW w:w="721" w:type="dxa"/>
            <w:vAlign w:val="center"/>
          </w:tcPr>
          <w:p w14:paraId="7EEDB0E0">
            <w:pPr>
              <w:pStyle w:val="10"/>
              <w:numPr>
                <w:ilvl w:val="0"/>
                <w:numId w:val="0"/>
              </w:numPr>
              <w:autoSpaceDE w:val="0"/>
              <w:autoSpaceDN w:val="0"/>
              <w:spacing w:line="360" w:lineRule="auto"/>
              <w:ind w:leftChars="0"/>
              <w:jc w:val="center"/>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2</w:t>
            </w:r>
          </w:p>
        </w:tc>
        <w:tc>
          <w:tcPr>
            <w:tcW w:w="6590" w:type="dxa"/>
            <w:vAlign w:val="center"/>
          </w:tcPr>
          <w:p w14:paraId="168E865B">
            <w:pPr>
              <w:autoSpaceDE w:val="0"/>
              <w:autoSpaceDN w:val="0"/>
              <w:adjustRightInd w:val="0"/>
              <w:spacing w:line="360" w:lineRule="auto"/>
              <w:jc w:val="both"/>
              <w:rPr>
                <w:rFonts w:hint="eastAsia" w:ascii="仿宋" w:hAnsi="仿宋" w:eastAsia="仿宋" w:cs="仿宋"/>
                <w:b/>
                <w:bCs/>
                <w:color w:val="auto"/>
                <w:kern w:val="0"/>
                <w:sz w:val="24"/>
                <w:szCs w:val="24"/>
                <w:lang w:val="en-US" w:eastAsia="zh-CN"/>
              </w:rPr>
            </w:pPr>
            <w:r>
              <w:rPr>
                <w:rFonts w:hint="default" w:ascii="仿宋" w:hAnsi="仿宋" w:eastAsia="仿宋" w:cs="仿宋"/>
                <w:b/>
                <w:bCs/>
                <w:color w:val="auto"/>
                <w:kern w:val="0"/>
                <w:sz w:val="24"/>
                <w:szCs w:val="24"/>
                <w:lang w:val="en-US" w:eastAsia="zh-CN"/>
              </w:rPr>
              <w:t>服务标准</w:t>
            </w:r>
            <w:r>
              <w:rPr>
                <w:rFonts w:hint="eastAsia" w:ascii="仿宋" w:hAnsi="仿宋" w:eastAsia="仿宋" w:cs="仿宋"/>
                <w:b/>
                <w:bCs/>
                <w:color w:val="auto"/>
                <w:kern w:val="0"/>
                <w:sz w:val="24"/>
                <w:szCs w:val="24"/>
                <w:lang w:val="en-US" w:eastAsia="zh-CN"/>
              </w:rPr>
              <w:t>：</w:t>
            </w:r>
          </w:p>
          <w:p w14:paraId="5665FA7A">
            <w:pPr>
              <w:autoSpaceDE w:val="0"/>
              <w:autoSpaceDN w:val="0"/>
              <w:adjustRightInd w:val="0"/>
              <w:spacing w:line="360" w:lineRule="auto"/>
              <w:ind w:firstLine="480" w:firstLineChars="200"/>
              <w:jc w:val="both"/>
              <w:rPr>
                <w:rFonts w:hint="default"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按照《广州市生活垃圾分类处理工作第三方评估工作流程》要求开展。采购人会根据工作重点不定期调整工作流程，以采购人通知为准。</w:t>
            </w:r>
          </w:p>
        </w:tc>
      </w:tr>
      <w:tr w14:paraId="218FE7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387" w:type="dxa"/>
            <w:vAlign w:val="center"/>
          </w:tcPr>
          <w:p w14:paraId="6DC5F7AF">
            <w:pPr>
              <w:autoSpaceDE w:val="0"/>
              <w:autoSpaceDN w:val="0"/>
              <w:adjustRightInd w:val="0"/>
              <w:spacing w:line="360" w:lineRule="auto"/>
              <w:jc w:val="center"/>
              <w:rPr>
                <w:rFonts w:hint="eastAsia" w:ascii="仿宋" w:hAnsi="仿宋" w:eastAsia="仿宋" w:cs="仿宋"/>
                <w:color w:val="auto"/>
                <w:kern w:val="0"/>
                <w:sz w:val="24"/>
                <w:szCs w:val="24"/>
              </w:rPr>
            </w:pPr>
          </w:p>
        </w:tc>
        <w:tc>
          <w:tcPr>
            <w:tcW w:w="721" w:type="dxa"/>
            <w:vAlign w:val="center"/>
          </w:tcPr>
          <w:p w14:paraId="6403933F">
            <w:pPr>
              <w:autoSpaceDE w:val="0"/>
              <w:autoSpaceDN w:val="0"/>
              <w:adjustRightInd w:val="0"/>
              <w:spacing w:line="360" w:lineRule="auto"/>
              <w:jc w:val="center"/>
              <w:rPr>
                <w:rFonts w:hint="eastAsia" w:ascii="仿宋" w:hAnsi="仿宋" w:eastAsia="仿宋" w:cs="仿宋"/>
                <w:color w:val="auto"/>
                <w:kern w:val="0"/>
                <w:sz w:val="24"/>
                <w:szCs w:val="24"/>
                <w:lang w:eastAsia="zh-CN"/>
              </w:rPr>
            </w:pPr>
            <w:r>
              <w:rPr>
                <w:rFonts w:hint="eastAsia" w:ascii="仿宋" w:hAnsi="仿宋" w:eastAsia="仿宋" w:cs="仿宋"/>
                <w:color w:val="auto"/>
                <w:kern w:val="0"/>
                <w:sz w:val="24"/>
                <w:szCs w:val="24"/>
                <w:lang w:val="en-US" w:eastAsia="zh-CN"/>
              </w:rPr>
              <w:t>3</w:t>
            </w:r>
          </w:p>
        </w:tc>
        <w:tc>
          <w:tcPr>
            <w:tcW w:w="6590" w:type="dxa"/>
            <w:vAlign w:val="center"/>
          </w:tcPr>
          <w:p w14:paraId="1B64C383">
            <w:pPr>
              <w:autoSpaceDE w:val="0"/>
              <w:autoSpaceDN w:val="0"/>
              <w:adjustRightInd w:val="0"/>
              <w:spacing w:line="360" w:lineRule="auto"/>
              <w:jc w:val="both"/>
              <w:rPr>
                <w:rFonts w:hint="eastAsia" w:ascii="仿宋" w:hAnsi="仿宋" w:eastAsia="仿宋" w:cs="仿宋"/>
                <w:b/>
                <w:bCs/>
                <w:color w:val="auto"/>
                <w:kern w:val="0"/>
                <w:sz w:val="24"/>
                <w:szCs w:val="24"/>
                <w:lang w:val="en-US" w:eastAsia="zh-CN"/>
              </w:rPr>
            </w:pPr>
            <w:r>
              <w:rPr>
                <w:rFonts w:hint="default" w:ascii="仿宋" w:hAnsi="仿宋" w:eastAsia="仿宋" w:cs="仿宋"/>
                <w:b/>
                <w:bCs/>
                <w:color w:val="auto"/>
                <w:kern w:val="0"/>
                <w:sz w:val="24"/>
                <w:szCs w:val="24"/>
                <w:lang w:val="en-US" w:eastAsia="zh-CN"/>
              </w:rPr>
              <w:t>财务要求</w:t>
            </w:r>
            <w:r>
              <w:rPr>
                <w:rFonts w:hint="eastAsia" w:ascii="仿宋" w:hAnsi="仿宋" w:eastAsia="仿宋" w:cs="仿宋"/>
                <w:b/>
                <w:bCs/>
                <w:color w:val="auto"/>
                <w:kern w:val="0"/>
                <w:sz w:val="24"/>
                <w:szCs w:val="24"/>
                <w:lang w:val="en-US" w:eastAsia="zh-CN"/>
              </w:rPr>
              <w:t>：</w:t>
            </w:r>
          </w:p>
          <w:p w14:paraId="43255857">
            <w:pPr>
              <w:numPr>
                <w:ilvl w:val="0"/>
                <w:numId w:val="3"/>
              </w:numPr>
              <w:autoSpaceDE w:val="0"/>
              <w:autoSpaceDN w:val="0"/>
              <w:adjustRightInd w:val="0"/>
              <w:spacing w:line="360" w:lineRule="auto"/>
              <w:ind w:firstLine="480" w:firstLineChars="200"/>
              <w:jc w:val="both"/>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中标人应当建立本次采购项目的台账，建立健全财务报告制度，按要求向采购人提供项目实施资金的使用情况、项目执行情况、成果总结等相关的材料；</w:t>
            </w:r>
          </w:p>
          <w:p w14:paraId="246BFCA9">
            <w:pPr>
              <w:numPr>
                <w:ilvl w:val="0"/>
                <w:numId w:val="3"/>
              </w:numPr>
              <w:autoSpaceDE w:val="0"/>
              <w:autoSpaceDN w:val="0"/>
              <w:adjustRightInd w:val="0"/>
              <w:spacing w:line="360" w:lineRule="auto"/>
              <w:ind w:firstLine="480" w:firstLineChars="200"/>
              <w:jc w:val="both"/>
              <w:rPr>
                <w:rFonts w:hint="default"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中标人应当严格遵守相关财务规定，规范管理和使用本次政府购买服务项目资金；</w:t>
            </w:r>
          </w:p>
          <w:p w14:paraId="2DD53A50">
            <w:pPr>
              <w:numPr>
                <w:ilvl w:val="0"/>
                <w:numId w:val="3"/>
              </w:numPr>
              <w:autoSpaceDE w:val="0"/>
              <w:autoSpaceDN w:val="0"/>
              <w:adjustRightInd w:val="0"/>
              <w:spacing w:line="360" w:lineRule="auto"/>
              <w:ind w:firstLine="480" w:firstLineChars="200"/>
              <w:jc w:val="both"/>
              <w:rPr>
                <w:rFonts w:hint="default"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中标人应当积极配合相关部门对资金使用情况进行巡查审计、监督检查与绩效评价。</w:t>
            </w:r>
          </w:p>
        </w:tc>
      </w:tr>
      <w:tr w14:paraId="26750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387" w:type="dxa"/>
            <w:vAlign w:val="center"/>
          </w:tcPr>
          <w:p w14:paraId="3E6E6EEC">
            <w:pPr>
              <w:autoSpaceDE w:val="0"/>
              <w:autoSpaceDN w:val="0"/>
              <w:adjustRightInd w:val="0"/>
              <w:spacing w:line="360" w:lineRule="auto"/>
              <w:jc w:val="center"/>
              <w:rPr>
                <w:rFonts w:hint="eastAsia" w:ascii="仿宋" w:hAnsi="仿宋" w:eastAsia="仿宋" w:cs="仿宋"/>
                <w:color w:val="auto"/>
                <w:kern w:val="0"/>
                <w:sz w:val="24"/>
                <w:szCs w:val="24"/>
              </w:rPr>
            </w:pPr>
          </w:p>
        </w:tc>
        <w:tc>
          <w:tcPr>
            <w:tcW w:w="721" w:type="dxa"/>
            <w:vAlign w:val="center"/>
          </w:tcPr>
          <w:p w14:paraId="680EA1E3">
            <w:pPr>
              <w:numPr>
                <w:ilvl w:val="0"/>
                <w:numId w:val="0"/>
              </w:numPr>
              <w:autoSpaceDE w:val="0"/>
              <w:autoSpaceDN w:val="0"/>
              <w:adjustRightInd w:val="0"/>
              <w:spacing w:line="360" w:lineRule="auto"/>
              <w:jc w:val="center"/>
              <w:rPr>
                <w:rFonts w:hint="default"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4</w:t>
            </w:r>
          </w:p>
        </w:tc>
        <w:tc>
          <w:tcPr>
            <w:tcW w:w="6590" w:type="dxa"/>
            <w:vAlign w:val="center"/>
          </w:tcPr>
          <w:p w14:paraId="21BD0963">
            <w:pPr>
              <w:numPr>
                <w:ilvl w:val="0"/>
                <w:numId w:val="0"/>
              </w:numPr>
              <w:autoSpaceDE w:val="0"/>
              <w:autoSpaceDN w:val="0"/>
              <w:adjustRightInd w:val="0"/>
              <w:spacing w:line="360" w:lineRule="auto"/>
              <w:jc w:val="both"/>
              <w:rPr>
                <w:rFonts w:hint="eastAsia" w:ascii="仿宋" w:hAnsi="仿宋" w:eastAsia="仿宋" w:cs="仿宋"/>
                <w:b/>
                <w:bCs/>
                <w:color w:val="auto"/>
                <w:kern w:val="0"/>
                <w:sz w:val="24"/>
                <w:szCs w:val="24"/>
                <w:lang w:val="en-US" w:eastAsia="zh-CN"/>
              </w:rPr>
            </w:pPr>
            <w:r>
              <w:rPr>
                <w:rFonts w:hint="eastAsia" w:ascii="仿宋" w:hAnsi="仿宋" w:eastAsia="仿宋" w:cs="仿宋"/>
                <w:b/>
                <w:bCs/>
                <w:color w:val="auto"/>
                <w:kern w:val="0"/>
                <w:sz w:val="24"/>
                <w:szCs w:val="24"/>
                <w:lang w:val="en-US" w:eastAsia="zh-CN"/>
              </w:rPr>
              <w:t>其他要求:</w:t>
            </w:r>
          </w:p>
          <w:p w14:paraId="0F96D4C0">
            <w:pPr>
              <w:numPr>
                <w:ilvl w:val="0"/>
                <w:numId w:val="4"/>
              </w:numPr>
              <w:autoSpaceDE w:val="0"/>
              <w:autoSpaceDN w:val="0"/>
              <w:adjustRightInd w:val="0"/>
              <w:spacing w:line="360" w:lineRule="auto"/>
              <w:ind w:firstLine="480" w:firstLineChars="200"/>
              <w:jc w:val="both"/>
              <w:rPr>
                <w:rFonts w:hint="default" w:ascii="仿宋" w:hAnsi="仿宋" w:eastAsia="仿宋" w:cs="仿宋"/>
                <w:color w:val="auto"/>
                <w:kern w:val="0"/>
                <w:sz w:val="24"/>
                <w:szCs w:val="24"/>
                <w:lang w:val="en-US" w:eastAsia="zh-CN"/>
              </w:rPr>
            </w:pPr>
            <w:r>
              <w:rPr>
                <w:rFonts w:hint="default" w:ascii="仿宋" w:hAnsi="仿宋" w:eastAsia="仿宋" w:cs="仿宋"/>
                <w:color w:val="auto"/>
                <w:kern w:val="0"/>
                <w:sz w:val="24"/>
                <w:szCs w:val="24"/>
                <w:lang w:val="en-US" w:eastAsia="zh-CN"/>
              </w:rPr>
              <w:t>本项目需要使用采购人自有评估管理系统开展评估工作（有自行开发系统作为备份的可加分）。</w:t>
            </w:r>
          </w:p>
          <w:p w14:paraId="2ECFD08F">
            <w:pPr>
              <w:numPr>
                <w:ilvl w:val="0"/>
                <w:numId w:val="4"/>
              </w:numPr>
              <w:autoSpaceDE w:val="0"/>
              <w:autoSpaceDN w:val="0"/>
              <w:adjustRightInd w:val="0"/>
              <w:spacing w:line="360" w:lineRule="auto"/>
              <w:ind w:firstLine="480" w:firstLineChars="200"/>
              <w:jc w:val="both"/>
              <w:rPr>
                <w:rFonts w:hint="default" w:ascii="仿宋" w:hAnsi="仿宋" w:eastAsia="仿宋" w:cs="仿宋"/>
                <w:color w:val="auto"/>
                <w:kern w:val="0"/>
                <w:sz w:val="24"/>
                <w:szCs w:val="24"/>
                <w:lang w:val="en-US" w:eastAsia="zh-CN"/>
              </w:rPr>
            </w:pPr>
            <w:r>
              <w:rPr>
                <w:rFonts w:hint="default" w:ascii="仿宋" w:hAnsi="仿宋" w:eastAsia="仿宋" w:cs="仿宋"/>
                <w:color w:val="auto"/>
                <w:kern w:val="0"/>
                <w:sz w:val="24"/>
                <w:szCs w:val="24"/>
                <w:lang w:val="en-US" w:eastAsia="zh-CN"/>
              </w:rPr>
              <w:t>投标人具有开展第三方评估工作的经验,并根据项目内容、要求及各项考核标准制定相关检查评估工作计划及进度安排。</w:t>
            </w:r>
          </w:p>
          <w:p w14:paraId="39B3B0D1">
            <w:pPr>
              <w:numPr>
                <w:ilvl w:val="0"/>
                <w:numId w:val="4"/>
              </w:numPr>
              <w:autoSpaceDE w:val="0"/>
              <w:autoSpaceDN w:val="0"/>
              <w:adjustRightInd w:val="0"/>
              <w:spacing w:line="360" w:lineRule="auto"/>
              <w:ind w:firstLine="480" w:firstLineChars="200"/>
              <w:jc w:val="both"/>
              <w:rPr>
                <w:rFonts w:hint="default" w:ascii="仿宋" w:hAnsi="仿宋" w:eastAsia="仿宋" w:cs="仿宋"/>
                <w:color w:val="auto"/>
                <w:kern w:val="0"/>
                <w:sz w:val="24"/>
                <w:szCs w:val="24"/>
                <w:lang w:val="en-US" w:eastAsia="zh-CN"/>
              </w:rPr>
            </w:pPr>
            <w:r>
              <w:rPr>
                <w:rFonts w:hint="eastAsia" w:ascii="仿宋" w:hAnsi="仿宋" w:eastAsia="仿宋" w:cs="仿宋"/>
                <w:color w:val="auto"/>
                <w:kern w:val="0"/>
                <w:sz w:val="24"/>
                <w:szCs w:val="24"/>
              </w:rPr>
              <w:t>★</w:t>
            </w:r>
            <w:r>
              <w:rPr>
                <w:rFonts w:hint="eastAsia" w:ascii="仿宋" w:hAnsi="仿宋" w:eastAsia="仿宋" w:cs="仿宋"/>
                <w:color w:val="auto"/>
                <w:kern w:val="0"/>
                <w:sz w:val="24"/>
                <w:szCs w:val="24"/>
                <w:lang w:val="en-US" w:eastAsia="zh-CN"/>
              </w:rPr>
              <w:t>中标人应</w:t>
            </w:r>
            <w:r>
              <w:rPr>
                <w:rFonts w:hint="default" w:ascii="仿宋" w:hAnsi="仿宋" w:eastAsia="仿宋" w:cs="仿宋"/>
                <w:color w:val="auto"/>
                <w:kern w:val="0"/>
                <w:sz w:val="24"/>
                <w:szCs w:val="24"/>
                <w:lang w:val="en-US" w:eastAsia="zh-CN"/>
              </w:rPr>
              <w:t>建立档案管理体系和保密制度</w:t>
            </w:r>
            <w:bookmarkStart w:id="4" w:name="OLE_LINK6"/>
            <w:r>
              <w:rPr>
                <w:rFonts w:hint="eastAsia" w:ascii="仿宋" w:hAnsi="仿宋" w:eastAsia="仿宋" w:cs="仿宋"/>
                <w:b/>
                <w:bCs/>
                <w:color w:val="auto"/>
                <w:kern w:val="0"/>
                <w:sz w:val="24"/>
                <w:szCs w:val="24"/>
                <w:lang w:val="en-US" w:eastAsia="zh-CN"/>
              </w:rPr>
              <w:t>（提供承诺函，格式自拟）</w:t>
            </w:r>
            <w:bookmarkEnd w:id="4"/>
            <w:r>
              <w:rPr>
                <w:rFonts w:hint="default" w:ascii="仿宋" w:hAnsi="仿宋" w:eastAsia="仿宋" w:cs="仿宋"/>
                <w:color w:val="auto"/>
                <w:kern w:val="0"/>
                <w:sz w:val="24"/>
                <w:szCs w:val="24"/>
                <w:lang w:val="en-US" w:eastAsia="zh-CN"/>
              </w:rPr>
              <w:t>。</w:t>
            </w:r>
          </w:p>
          <w:p w14:paraId="25BC114B">
            <w:pPr>
              <w:numPr>
                <w:ilvl w:val="0"/>
                <w:numId w:val="4"/>
              </w:numPr>
              <w:autoSpaceDE w:val="0"/>
              <w:autoSpaceDN w:val="0"/>
              <w:adjustRightInd w:val="0"/>
              <w:spacing w:line="360" w:lineRule="auto"/>
              <w:ind w:firstLine="480" w:firstLineChars="200"/>
              <w:jc w:val="both"/>
              <w:rPr>
                <w:rFonts w:hint="default" w:ascii="仿宋" w:hAnsi="仿宋" w:eastAsia="仿宋" w:cs="仿宋"/>
                <w:color w:val="auto"/>
                <w:kern w:val="0"/>
                <w:sz w:val="24"/>
                <w:szCs w:val="24"/>
                <w:lang w:val="en-US" w:eastAsia="zh-CN"/>
              </w:rPr>
            </w:pPr>
            <w:r>
              <w:rPr>
                <w:rFonts w:hint="default" w:ascii="仿宋" w:hAnsi="仿宋" w:eastAsia="仿宋" w:cs="仿宋"/>
                <w:color w:val="auto"/>
                <w:kern w:val="0"/>
                <w:sz w:val="24"/>
                <w:szCs w:val="24"/>
                <w:lang w:val="en-US" w:eastAsia="zh-CN"/>
              </w:rPr>
              <w:t>因本次服务内容涉及全市11个区，工作量繁多且区域跨度较大。为了保障服务及时性和服务质量，11个区的评估人员合计应不少于55人，项目须配备2个项目经理，配备2个机动保障人员，配备1个文员，因此要求投标人须为本项目配备不少于60人的评估队伍。</w:t>
            </w:r>
          </w:p>
          <w:p w14:paraId="6D31E193">
            <w:pPr>
              <w:numPr>
                <w:ilvl w:val="-1"/>
                <w:numId w:val="0"/>
              </w:numPr>
              <w:autoSpaceDE w:val="0"/>
              <w:autoSpaceDN w:val="0"/>
              <w:adjustRightInd w:val="0"/>
              <w:spacing w:line="360" w:lineRule="auto"/>
              <w:ind w:firstLine="480" w:firstLineChars="200"/>
              <w:jc w:val="both"/>
              <w:rPr>
                <w:rFonts w:hint="default" w:ascii="仿宋" w:hAnsi="仿宋" w:eastAsia="仿宋" w:cs="仿宋"/>
                <w:color w:val="auto"/>
                <w:kern w:val="0"/>
                <w:sz w:val="24"/>
                <w:szCs w:val="24"/>
                <w:lang w:val="en-US" w:eastAsia="zh-CN"/>
              </w:rPr>
            </w:pPr>
            <w:r>
              <w:rPr>
                <w:rFonts w:hint="default" w:ascii="仿宋" w:hAnsi="仿宋" w:eastAsia="仿宋" w:cs="仿宋"/>
                <w:color w:val="auto"/>
                <w:kern w:val="0"/>
                <w:sz w:val="24"/>
                <w:szCs w:val="24"/>
                <w:lang w:val="en-US" w:eastAsia="zh-CN"/>
              </w:rPr>
              <w:t>因评估工作可能存在各区同时进行，按照人员数量折算，应配备不少于16台不受本地限行影响的评估巡查工作车辆（其中至少13台车用于日常评估工作，不少于3台用于应急保障），以确保工作顺利开展。投标人承诺中标后1个月内配齐所需人员和车辆的也视为满足此项条件。</w:t>
            </w:r>
          </w:p>
          <w:p w14:paraId="0612FC54">
            <w:pPr>
              <w:numPr>
                <w:ilvl w:val="-1"/>
                <w:numId w:val="0"/>
              </w:numPr>
              <w:autoSpaceDE w:val="0"/>
              <w:autoSpaceDN w:val="0"/>
              <w:adjustRightInd w:val="0"/>
              <w:spacing w:line="360" w:lineRule="auto"/>
              <w:ind w:firstLine="480" w:firstLineChars="200"/>
              <w:jc w:val="both"/>
              <w:rPr>
                <w:rFonts w:hint="default" w:ascii="仿宋" w:hAnsi="仿宋" w:eastAsia="仿宋" w:cs="仿宋"/>
                <w:color w:val="auto"/>
                <w:kern w:val="0"/>
                <w:sz w:val="24"/>
                <w:szCs w:val="24"/>
                <w:lang w:val="en-US" w:eastAsia="zh-CN"/>
              </w:rPr>
            </w:pPr>
            <w:r>
              <w:rPr>
                <w:rFonts w:hint="default" w:ascii="仿宋" w:hAnsi="仿宋" w:eastAsia="仿宋" w:cs="仿宋"/>
                <w:color w:val="auto"/>
                <w:kern w:val="0"/>
                <w:sz w:val="24"/>
                <w:szCs w:val="24"/>
                <w:lang w:val="en-US" w:eastAsia="zh-CN"/>
              </w:rPr>
              <w:t>【（1）评估人员须提供：①学历</w:t>
            </w:r>
            <w:r>
              <w:rPr>
                <w:rFonts w:hint="eastAsia" w:ascii="仿宋" w:hAnsi="仿宋" w:eastAsia="仿宋" w:cs="仿宋"/>
                <w:color w:val="auto"/>
                <w:kern w:val="0"/>
                <w:sz w:val="24"/>
                <w:szCs w:val="24"/>
                <w:lang w:val="en-US" w:eastAsia="zh-CN"/>
              </w:rPr>
              <w:t>（学位）</w:t>
            </w:r>
            <w:r>
              <w:rPr>
                <w:rFonts w:hint="default" w:ascii="仿宋" w:hAnsi="仿宋" w:eastAsia="仿宋" w:cs="仿宋"/>
                <w:color w:val="auto"/>
                <w:kern w:val="0"/>
                <w:sz w:val="24"/>
                <w:szCs w:val="24"/>
                <w:lang w:val="en-US" w:eastAsia="zh-CN"/>
              </w:rPr>
              <w:t>证复印件②与投标人签署的劳动合同，或投标截止之日前3个月</w:t>
            </w:r>
            <w:r>
              <w:rPr>
                <w:rFonts w:hint="eastAsia" w:ascii="仿宋" w:hAnsi="仿宋" w:eastAsia="仿宋" w:cs="仿宋"/>
                <w:color w:val="auto"/>
                <w:kern w:val="0"/>
                <w:sz w:val="24"/>
                <w:szCs w:val="24"/>
                <w:lang w:val="en-US" w:eastAsia="zh-CN"/>
              </w:rPr>
              <w:t>内任意一月</w:t>
            </w:r>
            <w:r>
              <w:rPr>
                <w:rFonts w:hint="default" w:ascii="仿宋" w:hAnsi="仿宋" w:eastAsia="仿宋" w:cs="仿宋"/>
                <w:color w:val="auto"/>
                <w:kern w:val="0"/>
                <w:sz w:val="24"/>
                <w:szCs w:val="24"/>
                <w:lang w:val="en-US" w:eastAsia="zh-CN"/>
              </w:rPr>
              <w:t>在投标人单位购买社保的社保证明材料，或投标截止之日前3个月</w:t>
            </w:r>
            <w:r>
              <w:rPr>
                <w:rFonts w:hint="eastAsia" w:ascii="仿宋" w:hAnsi="仿宋" w:eastAsia="仿宋" w:cs="仿宋"/>
                <w:color w:val="auto"/>
                <w:kern w:val="0"/>
                <w:sz w:val="24"/>
                <w:szCs w:val="24"/>
                <w:lang w:val="en-US" w:eastAsia="zh-CN"/>
              </w:rPr>
              <w:t>内任意一月</w:t>
            </w:r>
            <w:r>
              <w:rPr>
                <w:rFonts w:hint="default" w:ascii="仿宋" w:hAnsi="仿宋" w:eastAsia="仿宋" w:cs="仿宋"/>
                <w:color w:val="auto"/>
                <w:kern w:val="0"/>
                <w:sz w:val="24"/>
                <w:szCs w:val="24"/>
                <w:lang w:val="en-US" w:eastAsia="zh-CN"/>
              </w:rPr>
              <w:t>投标人单位代缴的个人所得税证明；以证明评估人员与投标人之间存在稳定的用工关系；（2）投入项目车辆须提供车辆行驶证复印件，车辆为自有的，行驶证所有人须与</w:t>
            </w:r>
            <w:r>
              <w:rPr>
                <w:rFonts w:hint="eastAsia" w:ascii="仿宋" w:hAnsi="仿宋" w:eastAsia="仿宋" w:cs="仿宋"/>
                <w:color w:val="auto"/>
                <w:kern w:val="0"/>
                <w:sz w:val="24"/>
                <w:szCs w:val="24"/>
                <w:lang w:val="en-US" w:eastAsia="zh-CN"/>
              </w:rPr>
              <w:t>中标人</w:t>
            </w:r>
            <w:r>
              <w:rPr>
                <w:rFonts w:hint="default" w:ascii="仿宋" w:hAnsi="仿宋" w:eastAsia="仿宋" w:cs="仿宋"/>
                <w:color w:val="auto"/>
                <w:kern w:val="0"/>
                <w:sz w:val="24"/>
                <w:szCs w:val="24"/>
                <w:lang w:val="en-US" w:eastAsia="zh-CN"/>
              </w:rPr>
              <w:t>一致；车辆为租赁的，另须提供租赁合同复印件作为证明材料，租赁期限须在本项目服务期内方为有效；投标时所提供的车辆须与开展项目时一致】</w:t>
            </w:r>
          </w:p>
          <w:p w14:paraId="08C7C777">
            <w:pPr>
              <w:numPr>
                <w:ilvl w:val="0"/>
                <w:numId w:val="4"/>
              </w:numPr>
              <w:autoSpaceDE w:val="0"/>
              <w:autoSpaceDN w:val="0"/>
              <w:adjustRightInd w:val="0"/>
              <w:spacing w:line="360" w:lineRule="auto"/>
              <w:ind w:firstLine="480" w:firstLineChars="200"/>
              <w:jc w:val="both"/>
              <w:rPr>
                <w:rFonts w:hint="default"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中标人</w:t>
            </w:r>
            <w:r>
              <w:rPr>
                <w:rFonts w:hint="default" w:ascii="仿宋" w:hAnsi="仿宋" w:eastAsia="仿宋" w:cs="仿宋"/>
                <w:color w:val="auto"/>
                <w:kern w:val="0"/>
                <w:sz w:val="24"/>
                <w:szCs w:val="24"/>
                <w:lang w:val="en-US" w:eastAsia="zh-CN"/>
              </w:rPr>
              <w:t>的评估队伍成员应遵守安全操作规章制度，若评估队伍成员发生工伤、人身损害、财产损失等事宜，由</w:t>
            </w:r>
            <w:r>
              <w:rPr>
                <w:rFonts w:hint="eastAsia" w:ascii="仿宋" w:hAnsi="仿宋" w:eastAsia="仿宋" w:cs="仿宋"/>
                <w:color w:val="auto"/>
                <w:kern w:val="0"/>
                <w:sz w:val="24"/>
                <w:szCs w:val="24"/>
                <w:lang w:val="en-US" w:eastAsia="zh-CN"/>
              </w:rPr>
              <w:t>中标人</w:t>
            </w:r>
            <w:r>
              <w:rPr>
                <w:rFonts w:hint="default" w:ascii="仿宋" w:hAnsi="仿宋" w:eastAsia="仿宋" w:cs="仿宋"/>
                <w:color w:val="auto"/>
                <w:kern w:val="0"/>
                <w:sz w:val="24"/>
                <w:szCs w:val="24"/>
                <w:lang w:val="en-US" w:eastAsia="zh-CN"/>
              </w:rPr>
              <w:t>、评估队伍成员负责，与采购人无关。</w:t>
            </w:r>
            <w:r>
              <w:rPr>
                <w:rFonts w:hint="eastAsia" w:ascii="仿宋" w:hAnsi="仿宋" w:eastAsia="仿宋" w:cs="仿宋"/>
                <w:color w:val="auto"/>
                <w:kern w:val="0"/>
                <w:sz w:val="24"/>
                <w:szCs w:val="24"/>
                <w:lang w:val="en-US" w:eastAsia="zh-CN"/>
              </w:rPr>
              <w:t>中标人</w:t>
            </w:r>
            <w:r>
              <w:rPr>
                <w:rFonts w:hint="default" w:ascii="仿宋" w:hAnsi="仿宋" w:eastAsia="仿宋" w:cs="仿宋"/>
                <w:color w:val="auto"/>
                <w:kern w:val="0"/>
                <w:sz w:val="24"/>
                <w:szCs w:val="24"/>
                <w:lang w:val="en-US" w:eastAsia="zh-CN"/>
              </w:rPr>
              <w:t>的服务团队成员导致采购人的相关人员或第三人人身、财产损失的，由</w:t>
            </w:r>
            <w:r>
              <w:rPr>
                <w:rFonts w:hint="eastAsia" w:ascii="仿宋" w:hAnsi="仿宋" w:eastAsia="仿宋" w:cs="仿宋"/>
                <w:color w:val="auto"/>
                <w:kern w:val="0"/>
                <w:sz w:val="24"/>
                <w:szCs w:val="24"/>
                <w:lang w:val="en-US" w:eastAsia="zh-CN"/>
              </w:rPr>
              <w:t>中标人</w:t>
            </w:r>
            <w:r>
              <w:rPr>
                <w:rFonts w:hint="default" w:ascii="仿宋" w:hAnsi="仿宋" w:eastAsia="仿宋" w:cs="仿宋"/>
                <w:color w:val="auto"/>
                <w:kern w:val="0"/>
                <w:sz w:val="24"/>
                <w:szCs w:val="24"/>
                <w:lang w:val="en-US" w:eastAsia="zh-CN"/>
              </w:rPr>
              <w:t>、评估队伍成员负责，与采购人无关。</w:t>
            </w:r>
          </w:p>
          <w:p w14:paraId="68A3EB99">
            <w:pPr>
              <w:numPr>
                <w:ilvl w:val="0"/>
                <w:numId w:val="4"/>
              </w:numPr>
              <w:autoSpaceDE w:val="0"/>
              <w:autoSpaceDN w:val="0"/>
              <w:adjustRightInd w:val="0"/>
              <w:spacing w:line="360" w:lineRule="auto"/>
              <w:ind w:firstLine="480" w:firstLineChars="200"/>
              <w:jc w:val="both"/>
              <w:rPr>
                <w:rFonts w:hint="default"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中标人</w:t>
            </w:r>
            <w:r>
              <w:rPr>
                <w:rFonts w:hint="default" w:ascii="仿宋" w:hAnsi="仿宋" w:eastAsia="仿宋" w:cs="仿宋"/>
                <w:color w:val="auto"/>
                <w:kern w:val="0"/>
                <w:sz w:val="24"/>
                <w:szCs w:val="24"/>
                <w:lang w:val="en-US" w:eastAsia="zh-CN"/>
              </w:rPr>
              <w:t>应</w:t>
            </w:r>
            <w:r>
              <w:rPr>
                <w:rFonts w:hint="eastAsia" w:ascii="仿宋" w:hAnsi="仿宋" w:eastAsia="仿宋" w:cs="仿宋"/>
                <w:color w:val="auto"/>
                <w:kern w:val="0"/>
                <w:sz w:val="24"/>
                <w:szCs w:val="24"/>
                <w:lang w:val="en-US" w:eastAsia="zh-CN"/>
              </w:rPr>
              <w:t>与</w:t>
            </w:r>
            <w:r>
              <w:rPr>
                <w:rFonts w:hint="default" w:ascii="仿宋" w:hAnsi="仿宋" w:eastAsia="仿宋" w:cs="仿宋"/>
                <w:color w:val="auto"/>
                <w:kern w:val="0"/>
                <w:sz w:val="24"/>
                <w:szCs w:val="24"/>
                <w:lang w:val="en-US" w:eastAsia="zh-CN"/>
              </w:rPr>
              <w:t>评估队伍人员签订劳动合同，负责管理人员的人事、劳资、保险事宜。</w:t>
            </w:r>
            <w:r>
              <w:rPr>
                <w:rFonts w:hint="eastAsia" w:ascii="仿宋" w:hAnsi="仿宋" w:eastAsia="仿宋" w:cs="仿宋"/>
                <w:color w:val="auto"/>
                <w:kern w:val="0"/>
                <w:sz w:val="24"/>
                <w:szCs w:val="24"/>
                <w:lang w:val="en-US" w:eastAsia="zh-CN"/>
              </w:rPr>
              <w:t>中标</w:t>
            </w:r>
            <w:r>
              <w:rPr>
                <w:rFonts w:hint="default" w:ascii="仿宋" w:hAnsi="仿宋" w:eastAsia="仿宋" w:cs="仿宋"/>
                <w:color w:val="auto"/>
                <w:kern w:val="0"/>
                <w:sz w:val="24"/>
                <w:szCs w:val="24"/>
                <w:lang w:val="en-US" w:eastAsia="zh-CN"/>
              </w:rPr>
              <w:t>人应依法为此项目评估队伍人员办理社会保险及缴纳住房公积金，为员工购买医疗、工伤、养老、失业保险，缴费标准养老保险，缴纳住房公积金。</w:t>
            </w:r>
          </w:p>
          <w:p w14:paraId="456B4FEB">
            <w:pPr>
              <w:numPr>
                <w:ilvl w:val="0"/>
                <w:numId w:val="4"/>
              </w:numPr>
              <w:autoSpaceDE w:val="0"/>
              <w:autoSpaceDN w:val="0"/>
              <w:adjustRightInd w:val="0"/>
              <w:spacing w:line="360" w:lineRule="auto"/>
              <w:ind w:firstLine="480" w:firstLineChars="200"/>
              <w:jc w:val="both"/>
              <w:rPr>
                <w:rFonts w:hint="default"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中</w:t>
            </w:r>
            <w:r>
              <w:rPr>
                <w:rFonts w:hint="default" w:ascii="仿宋" w:hAnsi="仿宋" w:eastAsia="仿宋" w:cs="仿宋"/>
                <w:color w:val="auto"/>
                <w:kern w:val="0"/>
                <w:sz w:val="24"/>
                <w:szCs w:val="24"/>
                <w:lang w:val="en-US" w:eastAsia="zh-CN"/>
              </w:rPr>
              <w:t>标人每周巡查时间不少于5个工作日（节假日除外），并在评估结束当日将评估的情况报采购人。</w:t>
            </w:r>
          </w:p>
          <w:p w14:paraId="4CCD9DF8">
            <w:pPr>
              <w:numPr>
                <w:ilvl w:val="0"/>
                <w:numId w:val="4"/>
              </w:numPr>
              <w:autoSpaceDE w:val="0"/>
              <w:autoSpaceDN w:val="0"/>
              <w:adjustRightInd w:val="0"/>
              <w:spacing w:line="360" w:lineRule="auto"/>
              <w:ind w:firstLine="480" w:firstLineChars="200"/>
              <w:jc w:val="both"/>
              <w:rPr>
                <w:rFonts w:hint="default" w:ascii="仿宋" w:hAnsi="仿宋" w:eastAsia="仿宋" w:cs="仿宋"/>
                <w:color w:val="auto"/>
                <w:kern w:val="0"/>
                <w:sz w:val="24"/>
                <w:szCs w:val="24"/>
                <w:lang w:val="en-US" w:eastAsia="zh-CN"/>
              </w:rPr>
            </w:pPr>
            <w:r>
              <w:rPr>
                <w:rFonts w:hint="eastAsia" w:ascii="仿宋" w:hAnsi="仿宋" w:eastAsia="仿宋" w:cs="仿宋"/>
                <w:color w:val="auto"/>
                <w:kern w:val="0"/>
                <w:sz w:val="24"/>
                <w:szCs w:val="24"/>
              </w:rPr>
              <w:t>★</w:t>
            </w:r>
            <w:r>
              <w:rPr>
                <w:rFonts w:hint="default" w:ascii="仿宋" w:hAnsi="仿宋" w:eastAsia="仿宋" w:cs="仿宋"/>
                <w:color w:val="auto"/>
                <w:kern w:val="0"/>
                <w:sz w:val="24"/>
                <w:szCs w:val="24"/>
                <w:lang w:val="en-US" w:eastAsia="zh-CN"/>
              </w:rPr>
              <w:t>投标人若中标，采购人可根据需求从评估队伍中挑选至少2名本科以上学历</w:t>
            </w:r>
            <w:r>
              <w:rPr>
                <w:rFonts w:hint="eastAsia" w:ascii="仿宋" w:hAnsi="仿宋" w:eastAsia="仿宋" w:cs="仿宋"/>
                <w:color w:val="auto"/>
                <w:kern w:val="0"/>
                <w:sz w:val="24"/>
                <w:szCs w:val="24"/>
                <w:lang w:val="en-US" w:eastAsia="zh-CN"/>
              </w:rPr>
              <w:t>（学位）</w:t>
            </w:r>
            <w:r>
              <w:rPr>
                <w:rFonts w:hint="default" w:ascii="仿宋" w:hAnsi="仿宋" w:eastAsia="仿宋" w:cs="仿宋"/>
                <w:color w:val="auto"/>
                <w:kern w:val="0"/>
                <w:sz w:val="24"/>
                <w:szCs w:val="24"/>
                <w:lang w:val="en-US" w:eastAsia="zh-CN"/>
              </w:rPr>
              <w:t>，具备公文处理能力、电脑操作能力以及熟悉项目情况的人员在采购人单位驻点办公，负责联络、资料整理汇总、数据分析、台帐建立等相关事宜，中标人自备电脑、相机等办公用品，未经采购人单位同意，不得随意更换</w:t>
            </w:r>
            <w:bookmarkStart w:id="5" w:name="OLE_LINK7"/>
            <w:r>
              <w:rPr>
                <w:rFonts w:hint="eastAsia" w:ascii="仿宋" w:hAnsi="仿宋" w:eastAsia="仿宋" w:cs="仿宋"/>
                <w:b/>
                <w:bCs/>
                <w:color w:val="auto"/>
                <w:kern w:val="0"/>
                <w:sz w:val="24"/>
                <w:szCs w:val="24"/>
                <w:lang w:val="en-US" w:eastAsia="zh-CN"/>
              </w:rPr>
              <w:t>（提供承诺函，格式自拟）</w:t>
            </w:r>
            <w:bookmarkEnd w:id="5"/>
            <w:r>
              <w:rPr>
                <w:rFonts w:hint="default" w:ascii="仿宋" w:hAnsi="仿宋" w:eastAsia="仿宋" w:cs="仿宋"/>
                <w:color w:val="auto"/>
                <w:kern w:val="0"/>
                <w:sz w:val="24"/>
                <w:szCs w:val="24"/>
                <w:lang w:val="en-US" w:eastAsia="zh-CN"/>
              </w:rPr>
              <w:t>。</w:t>
            </w:r>
          </w:p>
          <w:p w14:paraId="17ABA4D9">
            <w:pPr>
              <w:numPr>
                <w:ilvl w:val="0"/>
                <w:numId w:val="4"/>
              </w:numPr>
              <w:autoSpaceDE w:val="0"/>
              <w:autoSpaceDN w:val="0"/>
              <w:adjustRightInd w:val="0"/>
              <w:spacing w:line="360" w:lineRule="auto"/>
              <w:ind w:firstLine="480" w:firstLineChars="200"/>
              <w:jc w:val="both"/>
              <w:rPr>
                <w:rFonts w:hint="default" w:ascii="仿宋" w:hAnsi="仿宋" w:eastAsia="仿宋" w:cs="仿宋"/>
                <w:color w:val="auto"/>
                <w:kern w:val="0"/>
                <w:sz w:val="24"/>
                <w:szCs w:val="24"/>
                <w:lang w:val="en-US" w:eastAsia="zh-CN"/>
              </w:rPr>
            </w:pPr>
            <w:r>
              <w:rPr>
                <w:rFonts w:hint="default" w:ascii="仿宋" w:hAnsi="仿宋" w:eastAsia="仿宋" w:cs="仿宋"/>
                <w:color w:val="auto"/>
                <w:kern w:val="0"/>
                <w:sz w:val="24"/>
                <w:szCs w:val="24"/>
                <w:lang w:val="en-US" w:eastAsia="zh-CN"/>
              </w:rPr>
              <w:t>中标人每月25日前向采购人提交下月详实的工作计划（包含检查时间、地点、项目、检查人员等内容）。</w:t>
            </w:r>
          </w:p>
          <w:p w14:paraId="27317AA4">
            <w:pPr>
              <w:numPr>
                <w:ilvl w:val="0"/>
                <w:numId w:val="4"/>
              </w:numPr>
              <w:autoSpaceDE w:val="0"/>
              <w:autoSpaceDN w:val="0"/>
              <w:adjustRightInd w:val="0"/>
              <w:spacing w:line="360" w:lineRule="auto"/>
              <w:ind w:firstLine="480" w:firstLineChars="200"/>
              <w:jc w:val="both"/>
              <w:rPr>
                <w:rFonts w:hint="default" w:ascii="仿宋" w:hAnsi="仿宋" w:eastAsia="仿宋" w:cs="仿宋"/>
                <w:color w:val="auto"/>
                <w:kern w:val="0"/>
                <w:sz w:val="24"/>
                <w:szCs w:val="24"/>
                <w:lang w:val="en-US" w:eastAsia="zh-CN"/>
              </w:rPr>
            </w:pPr>
            <w:r>
              <w:rPr>
                <w:rFonts w:hint="eastAsia" w:ascii="仿宋" w:hAnsi="仿宋" w:eastAsia="仿宋" w:cs="仿宋"/>
                <w:color w:val="auto"/>
                <w:kern w:val="0"/>
                <w:sz w:val="24"/>
                <w:szCs w:val="24"/>
              </w:rPr>
              <w:t>★</w:t>
            </w:r>
            <w:r>
              <w:rPr>
                <w:rFonts w:hint="default" w:ascii="仿宋" w:hAnsi="仿宋" w:eastAsia="仿宋" w:cs="仿宋"/>
                <w:color w:val="auto"/>
                <w:kern w:val="0"/>
                <w:sz w:val="24"/>
                <w:szCs w:val="24"/>
                <w:lang w:val="en-US" w:eastAsia="zh-CN"/>
              </w:rPr>
              <w:t>采购人聘请质量评估公司每3个月对中标人的工作质量进行评估，评估结果与合同支付金额挂钩，具体细则于合同协议中商定</w:t>
            </w:r>
            <w:r>
              <w:rPr>
                <w:rFonts w:hint="eastAsia" w:ascii="仿宋" w:hAnsi="仿宋" w:eastAsia="仿宋" w:cs="仿宋"/>
                <w:b/>
                <w:bCs/>
                <w:color w:val="auto"/>
                <w:kern w:val="0"/>
                <w:sz w:val="24"/>
                <w:szCs w:val="24"/>
                <w:lang w:val="en-US" w:eastAsia="zh-CN"/>
              </w:rPr>
              <w:t>（提供承诺函，格式自拟）</w:t>
            </w:r>
            <w:r>
              <w:rPr>
                <w:rFonts w:hint="default" w:ascii="仿宋" w:hAnsi="仿宋" w:eastAsia="仿宋" w:cs="仿宋"/>
                <w:color w:val="auto"/>
                <w:kern w:val="0"/>
                <w:sz w:val="24"/>
                <w:szCs w:val="24"/>
                <w:lang w:val="en-US" w:eastAsia="zh-CN"/>
              </w:rPr>
              <w:t>。</w:t>
            </w:r>
          </w:p>
        </w:tc>
      </w:tr>
      <w:tr w14:paraId="74B32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1387" w:type="dxa"/>
            <w:vAlign w:val="center"/>
          </w:tcPr>
          <w:p w14:paraId="0353359A">
            <w:pPr>
              <w:autoSpaceDE w:val="0"/>
              <w:autoSpaceDN w:val="0"/>
              <w:adjustRightInd w:val="0"/>
              <w:spacing w:line="360" w:lineRule="auto"/>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说明</w:t>
            </w:r>
          </w:p>
        </w:tc>
        <w:tc>
          <w:tcPr>
            <w:tcW w:w="7311" w:type="dxa"/>
            <w:gridSpan w:val="2"/>
            <w:vAlign w:val="center"/>
          </w:tcPr>
          <w:p w14:paraId="0288DC0B">
            <w:pPr>
              <w:autoSpaceDE w:val="0"/>
              <w:autoSpaceDN w:val="0"/>
              <w:adjustRightInd w:val="0"/>
              <w:spacing w:line="360" w:lineRule="auto"/>
              <w:jc w:val="left"/>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打</w:t>
            </w:r>
            <w:r>
              <w:rPr>
                <w:rFonts w:hint="eastAsia" w:ascii="仿宋" w:hAnsi="仿宋" w:eastAsia="仿宋" w:cs="仿宋"/>
                <w:color w:val="auto"/>
                <w:kern w:val="0"/>
                <w:sz w:val="24"/>
                <w:szCs w:val="24"/>
              </w:rPr>
              <w:t>“</w:t>
            </w:r>
            <w:bookmarkStart w:id="6" w:name="OLE_LINK5"/>
            <w:r>
              <w:rPr>
                <w:rFonts w:hint="eastAsia" w:ascii="仿宋" w:hAnsi="仿宋" w:eastAsia="仿宋" w:cs="仿宋"/>
                <w:color w:val="auto"/>
                <w:kern w:val="0"/>
                <w:sz w:val="24"/>
                <w:szCs w:val="24"/>
              </w:rPr>
              <w:t>★</w:t>
            </w:r>
            <w:bookmarkEnd w:id="6"/>
            <w:r>
              <w:rPr>
                <w:rFonts w:hint="eastAsia" w:ascii="仿宋" w:hAnsi="仿宋" w:eastAsia="仿宋" w:cs="仿宋"/>
                <w:color w:val="auto"/>
                <w:kern w:val="0"/>
                <w:sz w:val="24"/>
                <w:szCs w:val="24"/>
              </w:rPr>
              <w:t>”</w:t>
            </w:r>
            <w:r>
              <w:rPr>
                <w:rFonts w:hint="eastAsia" w:ascii="仿宋" w:hAnsi="仿宋" w:eastAsia="仿宋" w:cs="仿宋"/>
                <w:color w:val="auto"/>
                <w:kern w:val="0"/>
                <w:sz w:val="24"/>
                <w:szCs w:val="24"/>
                <w:lang w:val="en-US" w:eastAsia="zh-CN"/>
              </w:rPr>
              <w:t>号条款为实质性条款，若有任何一条负偏离或不满足则导致投标无效。</w:t>
            </w:r>
          </w:p>
          <w:p w14:paraId="3225C3B7">
            <w:pPr>
              <w:autoSpaceDE w:val="0"/>
              <w:autoSpaceDN w:val="0"/>
              <w:adjustRightInd w:val="0"/>
              <w:spacing w:line="360" w:lineRule="auto"/>
              <w:jc w:val="left"/>
              <w:rPr>
                <w:rFonts w:hint="default" w:ascii="仿宋" w:hAnsi="仿宋" w:eastAsia="仿宋" w:cs="仿宋"/>
                <w:color w:val="auto"/>
                <w:kern w:val="0"/>
                <w:sz w:val="24"/>
                <w:szCs w:val="24"/>
                <w:lang w:val="en-US" w:eastAsia="zh-CN"/>
              </w:rPr>
            </w:pPr>
            <w:r>
              <w:rPr>
                <w:rFonts w:hint="default" w:ascii="仿宋" w:hAnsi="仿宋" w:eastAsia="仿宋" w:cs="仿宋"/>
                <w:color w:val="auto"/>
                <w:kern w:val="0"/>
                <w:sz w:val="24"/>
                <w:szCs w:val="24"/>
                <w:lang w:val="en-US" w:eastAsia="zh-CN"/>
              </w:rPr>
              <w:t>打“▲”号</w:t>
            </w:r>
            <w:r>
              <w:rPr>
                <w:rFonts w:hint="eastAsia" w:ascii="仿宋" w:hAnsi="仿宋" w:eastAsia="仿宋" w:cs="仿宋"/>
                <w:color w:val="auto"/>
                <w:kern w:val="0"/>
                <w:sz w:val="24"/>
                <w:szCs w:val="24"/>
                <w:lang w:val="en-US" w:eastAsia="zh-CN"/>
              </w:rPr>
              <w:t>条款为重要技术参数，若有部分“▲”条款未响应或不满足，将导致其响应性评审加重扣分，但不作为无效投标条款。</w:t>
            </w:r>
          </w:p>
        </w:tc>
      </w:tr>
    </w:tbl>
    <w:p w14:paraId="6F07689C">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auto"/>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7605A2"/>
    <w:multiLevelType w:val="singleLevel"/>
    <w:tmpl w:val="B97605A2"/>
    <w:lvl w:ilvl="0" w:tentative="0">
      <w:start w:val="1"/>
      <w:numFmt w:val="decimal"/>
      <w:suff w:val="nothing"/>
      <w:lvlText w:val="（%1）"/>
      <w:lvlJc w:val="left"/>
    </w:lvl>
  </w:abstractNum>
  <w:abstractNum w:abstractNumId="1">
    <w:nsid w:val="2849616C"/>
    <w:multiLevelType w:val="singleLevel"/>
    <w:tmpl w:val="2849616C"/>
    <w:lvl w:ilvl="0" w:tentative="0">
      <w:start w:val="1"/>
      <w:numFmt w:val="decimal"/>
      <w:suff w:val="nothing"/>
      <w:lvlText w:val="（%1）"/>
      <w:lvlJc w:val="left"/>
    </w:lvl>
  </w:abstractNum>
  <w:abstractNum w:abstractNumId="2">
    <w:nsid w:val="2CD619E7"/>
    <w:multiLevelType w:val="singleLevel"/>
    <w:tmpl w:val="2CD619E7"/>
    <w:lvl w:ilvl="0" w:tentative="0">
      <w:start w:val="1"/>
      <w:numFmt w:val="decimal"/>
      <w:suff w:val="nothing"/>
      <w:lvlText w:val="（%1）"/>
      <w:lvlJc w:val="left"/>
    </w:lvl>
  </w:abstractNum>
  <w:abstractNum w:abstractNumId="3">
    <w:nsid w:val="4A2AF9A0"/>
    <w:multiLevelType w:val="singleLevel"/>
    <w:tmpl w:val="4A2AF9A0"/>
    <w:lvl w:ilvl="0" w:tentative="0">
      <w:start w:val="1"/>
      <w:numFmt w:val="decimal"/>
      <w:suff w:val="nothing"/>
      <w:lvlText w:val="（%1）"/>
      <w:lvlJc w:val="left"/>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NhMzQ2NDU2MTEwZjhkMGExOTU1MzU5NDZkYjdhNTMifQ=="/>
  </w:docVars>
  <w:rsids>
    <w:rsidRoot w:val="3AFF2368"/>
    <w:rsid w:val="036D482C"/>
    <w:rsid w:val="14DA7EFF"/>
    <w:rsid w:val="248E4D87"/>
    <w:rsid w:val="3AFF2368"/>
    <w:rsid w:val="4CDD17A1"/>
    <w:rsid w:val="6DB82591"/>
    <w:rsid w:val="6E99312F"/>
    <w:rsid w:val="793E637E"/>
    <w:rsid w:val="7D751B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annotation text"/>
    <w:basedOn w:val="1"/>
    <w:unhideWhenUsed/>
    <w:qFormat/>
    <w:uiPriority w:val="0"/>
    <w:pPr>
      <w:jc w:val="left"/>
    </w:p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表格文字"/>
    <w:basedOn w:val="9"/>
    <w:autoRedefine/>
    <w:qFormat/>
    <w:uiPriority w:val="0"/>
    <w:pPr>
      <w:spacing w:before="25" w:after="25"/>
      <w:jc w:val="left"/>
    </w:pPr>
    <w:rPr>
      <w:bCs/>
      <w:spacing w:val="10"/>
      <w:kern w:val="0"/>
      <w:sz w:val="24"/>
    </w:rPr>
  </w:style>
  <w:style w:type="paragraph" w:customStyle="1" w:styleId="9">
    <w:name w:val="正文 New New"/>
    <w:next w:val="8"/>
    <w:autoRedefine/>
    <w:qFormat/>
    <w:uiPriority w:val="0"/>
    <w:pPr>
      <w:widowControl w:val="0"/>
      <w:jc w:val="both"/>
    </w:pPr>
    <w:rPr>
      <w:rFonts w:ascii="Calibri" w:hAnsi="Calibri" w:eastAsia="宋体" w:cs="Times New Roman"/>
      <w:kern w:val="2"/>
      <w:sz w:val="21"/>
      <w:szCs w:val="24"/>
      <w:lang w:val="en-US" w:eastAsia="zh-CN" w:bidi="ar-SA"/>
    </w:rPr>
  </w:style>
  <w:style w:type="paragraph" w:styleId="10">
    <w:name w:val="List Paragraph"/>
    <w:basedOn w:val="1"/>
    <w:autoRedefine/>
    <w:qFormat/>
    <w:uiPriority w:val="0"/>
    <w:pPr>
      <w:adjustRightInd w:val="0"/>
      <w:spacing w:line="360" w:lineRule="atLeast"/>
      <w:ind w:firstLine="420" w:firstLineChars="200"/>
    </w:pPr>
    <w:rPr>
      <w:rFonts w:ascii="Times New Roman" w:hAnsi="Times New Roman" w:cs="Times New Roman"/>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3311</Words>
  <Characters>3421</Characters>
  <Lines>0</Lines>
  <Paragraphs>0</Paragraphs>
  <TotalTime>3</TotalTime>
  <ScaleCrop>false</ScaleCrop>
  <LinksUpToDate>false</LinksUpToDate>
  <CharactersWithSpaces>3421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2024-10-15T09:34:00Z</dcterms:created>
  <dc:creator>国晟招标</dc:creator>
  <cp:lastModifiedBy>启盛</cp:lastModifiedBy>
  <dcterms:modified xsi:type="dcterms:W3CDTF">2024-10-16T08:59:43Z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15607B48A10941C495077CCAD7DF8D99_13</vt:lpwstr>
  </property>
</Properties>
</file>