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center"/>
        <w:rPr>
          <w:rFonts w:hint="eastAsia" w:ascii="仿宋" w:hAnsi="仿宋" w:eastAsia="仿宋" w:cs="仿宋"/>
          <w:color w:val="auto"/>
        </w:rPr>
      </w:pPr>
      <w:bookmarkStart w:id="0" w:name="_GoBack"/>
      <w:bookmarkEnd w:id="0"/>
      <w:r>
        <w:rPr>
          <w:rFonts w:hint="eastAsia" w:ascii="黑体" w:hAnsi="黑体" w:eastAsia="黑体" w:cs="黑体"/>
          <w:color w:val="auto"/>
          <w:lang w:val="en-US" w:eastAsia="zh-CN"/>
        </w:rPr>
        <w:t>采购</w:t>
      </w:r>
      <w:r>
        <w:rPr>
          <w:rFonts w:hint="eastAsia" w:ascii="黑体" w:hAnsi="黑体" w:eastAsia="黑体" w:cs="黑体"/>
          <w:color w:val="auto"/>
        </w:rPr>
        <w:t>需求</w:t>
      </w:r>
    </w:p>
    <w:p>
      <w:pPr>
        <w:spacing w:line="360" w:lineRule="auto"/>
        <w:outlineLvl w:val="9"/>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rPr>
        <w:t>项目概况</w:t>
      </w:r>
    </w:p>
    <w:p>
      <w:pPr>
        <w:autoSpaceDE w:val="0"/>
        <w:autoSpaceDN w:val="0"/>
        <w:adjustRightInd w:val="0"/>
        <w:spacing w:line="360" w:lineRule="auto"/>
        <w:ind w:firstLine="482" w:firstLineChars="200"/>
        <w:jc w:val="left"/>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lang w:val="en-US" w:eastAsia="zh-CN"/>
        </w:rPr>
        <w:t>（一）</w:t>
      </w:r>
      <w:r>
        <w:rPr>
          <w:rFonts w:hint="eastAsia" w:ascii="仿宋" w:hAnsi="仿宋" w:eastAsia="仿宋" w:cs="仿宋"/>
          <w:b/>
          <w:bCs/>
          <w:color w:val="auto"/>
          <w:kern w:val="0"/>
          <w:sz w:val="24"/>
          <w:szCs w:val="24"/>
        </w:rPr>
        <w:t>背景意义</w:t>
      </w:r>
    </w:p>
    <w:p>
      <w:pPr>
        <w:pStyle w:val="2"/>
        <w:spacing w:line="360" w:lineRule="auto"/>
        <w:ind w:firstLine="520" w:firstLineChars="200"/>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eastAsia="zh-CN"/>
        </w:rPr>
        <w:t>为</w:t>
      </w:r>
      <w:r>
        <w:rPr>
          <w:rFonts w:hint="eastAsia" w:ascii="仿宋" w:hAnsi="仿宋" w:eastAsia="仿宋" w:cs="仿宋"/>
          <w:color w:val="auto"/>
          <w:kern w:val="0"/>
          <w:sz w:val="24"/>
          <w:szCs w:val="24"/>
        </w:rPr>
        <w:t>建立健全广州市水域市容环境卫生管理长效机制，督促各区切实履行属地管理责任，有效促进广州市水域市容环境卫生责任区制度落实，进一步提升市区两级水域市容环境卫生管理水平。有效整合社会人力资源，实现资源优化配置，提高城市水域管理效能，建成具有创新性、统筹性、实用性、市民满意的城市水域管理治理体系</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全市</w:t>
      </w:r>
      <w:r>
        <w:rPr>
          <w:rFonts w:hint="eastAsia" w:ascii="仿宋" w:hAnsi="仿宋" w:eastAsia="仿宋" w:cs="仿宋"/>
          <w:color w:val="auto"/>
          <w:kern w:val="0"/>
          <w:sz w:val="24"/>
          <w:szCs w:val="24"/>
          <w:lang w:eastAsia="zh-CN"/>
        </w:rPr>
        <w:t>水域</w:t>
      </w:r>
      <w:r>
        <w:rPr>
          <w:rFonts w:hint="eastAsia" w:ascii="仿宋" w:hAnsi="仿宋" w:eastAsia="仿宋" w:cs="仿宋"/>
          <w:color w:val="auto"/>
          <w:kern w:val="0"/>
          <w:sz w:val="24"/>
          <w:szCs w:val="24"/>
        </w:rPr>
        <w:t>保洁质量引入第三方评价工作。</w:t>
      </w:r>
    </w:p>
    <w:p>
      <w:pPr>
        <w:pStyle w:val="2"/>
        <w:spacing w:line="360" w:lineRule="auto"/>
        <w:ind w:firstLine="522" w:firstLineChars="200"/>
        <w:rPr>
          <w:rFonts w:hint="eastAsia" w:ascii="仿宋" w:hAnsi="仿宋" w:eastAsia="仿宋" w:cs="仿宋"/>
          <w:b/>
          <w:bCs w:val="0"/>
          <w:color w:val="auto"/>
          <w:lang w:eastAsia="zh-CN"/>
        </w:rPr>
      </w:pPr>
      <w:r>
        <w:rPr>
          <w:rFonts w:hint="eastAsia" w:ascii="仿宋" w:hAnsi="仿宋" w:eastAsia="仿宋" w:cs="仿宋"/>
          <w:b/>
          <w:bCs w:val="0"/>
          <w:color w:val="auto"/>
          <w:lang w:eastAsia="zh-CN"/>
        </w:rPr>
        <w:t>（二）项目预算</w:t>
      </w:r>
    </w:p>
    <w:p>
      <w:pPr>
        <w:keepNext w:val="0"/>
        <w:keepLines w:val="0"/>
        <w:pageBreakBefore w:val="0"/>
        <w:widowControl w:val="0"/>
        <w:kinsoku/>
        <w:wordWrap/>
        <w:overflowPunct/>
        <w:topLinePunct w:val="0"/>
        <w:autoSpaceDE/>
        <w:autoSpaceDN/>
        <w:bidi w:val="0"/>
        <w:adjustRightInd/>
        <w:snapToGrid/>
        <w:spacing w:line="360" w:lineRule="auto"/>
        <w:ind w:firstLine="520" w:firstLineChars="200"/>
        <w:jc w:val="left"/>
        <w:textAlignment w:val="auto"/>
        <w:rPr>
          <w:rFonts w:hint="eastAsia" w:ascii="仿宋" w:hAnsi="仿宋" w:eastAsia="仿宋" w:cs="仿宋"/>
          <w:bCs/>
          <w:color w:val="auto"/>
          <w:spacing w:val="10"/>
          <w:kern w:val="0"/>
          <w:sz w:val="24"/>
          <w:szCs w:val="24"/>
        </w:rPr>
      </w:pPr>
      <w:r>
        <w:rPr>
          <w:rFonts w:hint="eastAsia" w:ascii="仿宋" w:hAnsi="仿宋" w:eastAsia="仿宋" w:cs="仿宋"/>
          <w:bCs/>
          <w:color w:val="auto"/>
          <w:spacing w:val="10"/>
          <w:kern w:val="0"/>
          <w:sz w:val="24"/>
          <w:szCs w:val="24"/>
          <w:lang w:val="en-US" w:eastAsia="zh-CN"/>
        </w:rPr>
        <w:t>本项目</w:t>
      </w:r>
      <w:r>
        <w:rPr>
          <w:rFonts w:hint="eastAsia" w:ascii="仿宋" w:hAnsi="仿宋" w:eastAsia="仿宋" w:cs="仿宋"/>
          <w:bCs/>
          <w:color w:val="auto"/>
          <w:spacing w:val="10"/>
          <w:kern w:val="0"/>
          <w:sz w:val="24"/>
          <w:szCs w:val="24"/>
        </w:rPr>
        <w:t>服务期为</w:t>
      </w:r>
      <w:r>
        <w:rPr>
          <w:rFonts w:hint="eastAsia" w:ascii="仿宋" w:hAnsi="仿宋" w:eastAsia="仿宋" w:cs="仿宋"/>
          <w:bCs/>
          <w:color w:val="auto"/>
          <w:spacing w:val="10"/>
          <w:kern w:val="0"/>
          <w:sz w:val="24"/>
          <w:szCs w:val="24"/>
          <w:lang w:val="en-US" w:eastAsia="zh-CN"/>
        </w:rPr>
        <w:t>自合同签订之日起三</w:t>
      </w:r>
      <w:r>
        <w:rPr>
          <w:rFonts w:hint="eastAsia" w:ascii="仿宋" w:hAnsi="仿宋" w:eastAsia="仿宋" w:cs="仿宋"/>
          <w:bCs/>
          <w:color w:val="auto"/>
          <w:spacing w:val="10"/>
          <w:kern w:val="0"/>
          <w:sz w:val="24"/>
          <w:szCs w:val="24"/>
        </w:rPr>
        <w:t>年。</w:t>
      </w:r>
      <w:r>
        <w:rPr>
          <w:rFonts w:hint="default" w:ascii="仿宋" w:hAnsi="仿宋" w:eastAsia="仿宋" w:cs="仿宋"/>
          <w:bCs/>
          <w:color w:val="auto"/>
          <w:spacing w:val="10"/>
          <w:kern w:val="0"/>
          <w:sz w:val="24"/>
          <w:szCs w:val="24"/>
          <w:lang w:val="en" w:eastAsia="zh-CN"/>
        </w:rPr>
        <w:t>每年</w:t>
      </w:r>
      <w:r>
        <w:rPr>
          <w:rFonts w:hint="eastAsia" w:ascii="仿宋" w:hAnsi="仿宋" w:eastAsia="仿宋" w:cs="仿宋"/>
          <w:bCs/>
          <w:color w:val="auto"/>
          <w:spacing w:val="10"/>
          <w:kern w:val="0"/>
          <w:sz w:val="24"/>
          <w:szCs w:val="24"/>
          <w:lang w:val="en-US" w:eastAsia="zh-CN"/>
        </w:rPr>
        <w:t>预算金额为7,224,633.33元，</w:t>
      </w:r>
      <w:r>
        <w:rPr>
          <w:rFonts w:hint="default" w:ascii="仿宋" w:hAnsi="仿宋" w:eastAsia="仿宋" w:cs="仿宋"/>
          <w:bCs/>
          <w:color w:val="auto"/>
          <w:spacing w:val="10"/>
          <w:kern w:val="0"/>
          <w:sz w:val="24"/>
          <w:szCs w:val="24"/>
          <w:lang w:val="en" w:eastAsia="zh-CN"/>
        </w:rPr>
        <w:t>合计</w:t>
      </w:r>
      <w:r>
        <w:rPr>
          <w:rFonts w:hint="eastAsia" w:ascii="仿宋" w:hAnsi="仿宋" w:eastAsia="仿宋" w:cs="仿宋"/>
          <w:bCs/>
          <w:color w:val="auto"/>
          <w:spacing w:val="10"/>
          <w:kern w:val="0"/>
          <w:sz w:val="24"/>
          <w:szCs w:val="24"/>
          <w:lang w:val="en-US" w:eastAsia="zh-CN"/>
        </w:rPr>
        <w:t>21</w:t>
      </w:r>
      <w:r>
        <w:rPr>
          <w:rFonts w:hint="default" w:ascii="仿宋" w:hAnsi="仿宋" w:eastAsia="仿宋" w:cs="仿宋"/>
          <w:bCs/>
          <w:color w:val="auto"/>
          <w:spacing w:val="10"/>
          <w:kern w:val="0"/>
          <w:sz w:val="24"/>
          <w:szCs w:val="24"/>
          <w:lang w:val="en" w:eastAsia="zh-CN"/>
        </w:rPr>
        <w:t>,</w:t>
      </w:r>
      <w:r>
        <w:rPr>
          <w:rFonts w:hint="eastAsia" w:ascii="仿宋" w:hAnsi="仿宋" w:eastAsia="仿宋" w:cs="仿宋"/>
          <w:bCs/>
          <w:color w:val="auto"/>
          <w:spacing w:val="10"/>
          <w:kern w:val="0"/>
          <w:sz w:val="24"/>
          <w:szCs w:val="24"/>
          <w:lang w:val="en-US" w:eastAsia="zh-CN"/>
        </w:rPr>
        <w:t>673</w:t>
      </w:r>
      <w:r>
        <w:rPr>
          <w:rFonts w:hint="default" w:ascii="仿宋" w:hAnsi="仿宋" w:eastAsia="仿宋" w:cs="仿宋"/>
          <w:bCs/>
          <w:color w:val="auto"/>
          <w:spacing w:val="10"/>
          <w:kern w:val="0"/>
          <w:sz w:val="24"/>
          <w:szCs w:val="24"/>
          <w:lang w:val="en" w:eastAsia="zh-CN"/>
        </w:rPr>
        <w:t>,</w:t>
      </w:r>
      <w:r>
        <w:rPr>
          <w:rFonts w:hint="eastAsia" w:ascii="仿宋" w:hAnsi="仿宋" w:eastAsia="仿宋" w:cs="仿宋"/>
          <w:bCs/>
          <w:color w:val="auto"/>
          <w:spacing w:val="10"/>
          <w:kern w:val="0"/>
          <w:sz w:val="24"/>
          <w:szCs w:val="24"/>
          <w:lang w:val="en-US" w:eastAsia="zh-CN"/>
        </w:rPr>
        <w:t>9</w:t>
      </w:r>
      <w:r>
        <w:rPr>
          <w:rFonts w:hint="default" w:ascii="仿宋" w:hAnsi="仿宋" w:eastAsia="仿宋" w:cs="仿宋"/>
          <w:bCs/>
          <w:color w:val="auto"/>
          <w:spacing w:val="10"/>
          <w:kern w:val="0"/>
          <w:sz w:val="24"/>
          <w:szCs w:val="24"/>
          <w:lang w:val="en" w:eastAsia="zh-CN"/>
        </w:rPr>
        <w:t>00</w:t>
      </w:r>
      <w:r>
        <w:rPr>
          <w:rFonts w:hint="eastAsia" w:ascii="仿宋" w:hAnsi="仿宋" w:eastAsia="仿宋" w:cs="仿宋"/>
          <w:bCs/>
          <w:color w:val="auto"/>
          <w:spacing w:val="10"/>
          <w:kern w:val="0"/>
          <w:sz w:val="24"/>
          <w:szCs w:val="24"/>
          <w:lang w:val="en-US" w:eastAsia="zh-CN"/>
        </w:rPr>
        <w:t>.00</w:t>
      </w:r>
      <w:r>
        <w:rPr>
          <w:rFonts w:hint="default" w:ascii="仿宋" w:hAnsi="仿宋" w:eastAsia="仿宋" w:cs="仿宋"/>
          <w:bCs/>
          <w:color w:val="auto"/>
          <w:spacing w:val="10"/>
          <w:kern w:val="0"/>
          <w:sz w:val="24"/>
          <w:szCs w:val="24"/>
          <w:lang w:val="en" w:eastAsia="zh-CN"/>
        </w:rPr>
        <w:t>元</w:t>
      </w:r>
      <w:r>
        <w:rPr>
          <w:rFonts w:hint="eastAsia" w:ascii="仿宋" w:hAnsi="仿宋" w:eastAsia="仿宋" w:cs="仿宋"/>
          <w:bCs/>
          <w:color w:val="auto"/>
          <w:spacing w:val="10"/>
          <w:kern w:val="0"/>
          <w:sz w:val="24"/>
          <w:szCs w:val="24"/>
        </w:rPr>
        <w:t>。</w:t>
      </w:r>
    </w:p>
    <w:p>
      <w:pPr>
        <w:autoSpaceDE w:val="0"/>
        <w:autoSpaceDN w:val="0"/>
        <w:adjustRightInd w:val="0"/>
        <w:spacing w:line="360" w:lineRule="auto"/>
        <w:ind w:firstLine="482" w:firstLineChars="200"/>
        <w:jc w:val="left"/>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lang w:eastAsia="zh-CN"/>
        </w:rPr>
        <w:t>（</w:t>
      </w:r>
      <w:r>
        <w:rPr>
          <w:rFonts w:hint="eastAsia" w:ascii="仿宋" w:hAnsi="仿宋" w:eastAsia="仿宋" w:cs="仿宋"/>
          <w:b/>
          <w:bCs/>
          <w:color w:val="auto"/>
          <w:kern w:val="0"/>
          <w:sz w:val="24"/>
          <w:szCs w:val="24"/>
          <w:lang w:val="en-US" w:eastAsia="zh-CN"/>
        </w:rPr>
        <w:t>三</w:t>
      </w:r>
      <w:r>
        <w:rPr>
          <w:rFonts w:hint="eastAsia" w:ascii="仿宋" w:hAnsi="仿宋" w:eastAsia="仿宋" w:cs="仿宋"/>
          <w:b/>
          <w:bCs/>
          <w:color w:val="auto"/>
          <w:kern w:val="0"/>
          <w:sz w:val="24"/>
          <w:szCs w:val="24"/>
          <w:lang w:eastAsia="zh-CN"/>
        </w:rPr>
        <w:t>）</w:t>
      </w:r>
      <w:r>
        <w:rPr>
          <w:rFonts w:hint="eastAsia" w:ascii="仿宋" w:hAnsi="仿宋" w:eastAsia="仿宋" w:cs="仿宋"/>
          <w:b/>
          <w:bCs/>
          <w:color w:val="auto"/>
          <w:kern w:val="0"/>
          <w:sz w:val="24"/>
          <w:szCs w:val="24"/>
        </w:rPr>
        <w:t>服务目标</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随着社会经济的发展,</w:t>
      </w:r>
      <w:r>
        <w:rPr>
          <w:rFonts w:hint="eastAsia" w:ascii="仿宋" w:hAnsi="仿宋" w:eastAsia="仿宋" w:cs="仿宋"/>
          <w:color w:val="auto"/>
          <w:kern w:val="0"/>
          <w:sz w:val="24"/>
          <w:szCs w:val="24"/>
          <w:lang w:eastAsia="zh-CN"/>
        </w:rPr>
        <w:t>国家对水污染防治越来越重视，人们</w:t>
      </w:r>
      <w:r>
        <w:rPr>
          <w:rFonts w:hint="eastAsia" w:ascii="仿宋" w:hAnsi="仿宋" w:eastAsia="仿宋" w:cs="仿宋"/>
          <w:color w:val="auto"/>
          <w:kern w:val="0"/>
          <w:sz w:val="24"/>
          <w:szCs w:val="24"/>
        </w:rPr>
        <w:t>对城市</w:t>
      </w:r>
      <w:r>
        <w:rPr>
          <w:rFonts w:hint="eastAsia" w:ascii="仿宋" w:hAnsi="仿宋" w:eastAsia="仿宋" w:cs="仿宋"/>
          <w:color w:val="auto"/>
          <w:kern w:val="0"/>
          <w:sz w:val="24"/>
          <w:szCs w:val="24"/>
          <w:lang w:eastAsia="zh-CN"/>
        </w:rPr>
        <w:t>水域</w:t>
      </w:r>
      <w:r>
        <w:rPr>
          <w:rFonts w:hint="eastAsia" w:ascii="仿宋" w:hAnsi="仿宋" w:eastAsia="仿宋" w:cs="仿宋"/>
          <w:color w:val="auto"/>
          <w:kern w:val="0"/>
          <w:sz w:val="24"/>
          <w:szCs w:val="24"/>
        </w:rPr>
        <w:t>环境的要求</w:t>
      </w:r>
      <w:r>
        <w:rPr>
          <w:rFonts w:hint="eastAsia" w:ascii="仿宋" w:hAnsi="仿宋" w:eastAsia="仿宋" w:cs="仿宋"/>
          <w:color w:val="auto"/>
          <w:kern w:val="0"/>
          <w:sz w:val="24"/>
          <w:szCs w:val="24"/>
          <w:lang w:eastAsia="zh-CN"/>
        </w:rPr>
        <w:t>也</w:t>
      </w:r>
      <w:r>
        <w:rPr>
          <w:rFonts w:hint="eastAsia" w:ascii="仿宋" w:hAnsi="仿宋" w:eastAsia="仿宋" w:cs="仿宋"/>
          <w:color w:val="auto"/>
          <w:kern w:val="0"/>
          <w:sz w:val="24"/>
          <w:szCs w:val="24"/>
        </w:rPr>
        <w:t>越来越高。根据广州市环境卫生质量监管体系要求</w:t>
      </w:r>
      <w:r>
        <w:rPr>
          <w:rFonts w:hint="eastAsia" w:ascii="仿宋" w:hAnsi="仿宋" w:eastAsia="仿宋" w:cs="仿宋"/>
          <w:color w:val="auto"/>
          <w:kern w:val="0"/>
          <w:sz w:val="24"/>
          <w:szCs w:val="24"/>
          <w:lang w:eastAsia="zh-CN"/>
        </w:rPr>
        <w:t>。</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eastAsia="zh-CN"/>
        </w:rPr>
        <w:t>一是要</w:t>
      </w:r>
      <w:r>
        <w:rPr>
          <w:rFonts w:hint="eastAsia" w:ascii="仿宋" w:hAnsi="仿宋" w:eastAsia="仿宋" w:cs="仿宋"/>
          <w:color w:val="auto"/>
          <w:kern w:val="0"/>
          <w:sz w:val="24"/>
          <w:szCs w:val="24"/>
        </w:rPr>
        <w:t>加强对海漂垃圾清理、转运工作的监管，建立巡查监管机制</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督促指导沿海属地</w:t>
      </w:r>
      <w:r>
        <w:rPr>
          <w:rFonts w:hint="eastAsia" w:ascii="仿宋" w:hAnsi="仿宋" w:eastAsia="仿宋" w:cs="仿宋"/>
          <w:color w:val="auto"/>
          <w:kern w:val="0"/>
          <w:sz w:val="24"/>
          <w:szCs w:val="24"/>
          <w:lang w:eastAsia="zh-CN"/>
        </w:rPr>
        <w:t>各区</w:t>
      </w:r>
      <w:r>
        <w:rPr>
          <w:rFonts w:hint="eastAsia" w:ascii="仿宋" w:hAnsi="仿宋" w:eastAsia="仿宋" w:cs="仿宋"/>
          <w:color w:val="auto"/>
          <w:kern w:val="0"/>
          <w:sz w:val="24"/>
          <w:szCs w:val="24"/>
        </w:rPr>
        <w:t>建立海漂垃圾清理、转运工作的长效机制</w:t>
      </w:r>
      <w:r>
        <w:rPr>
          <w:rFonts w:hint="eastAsia" w:ascii="仿宋" w:hAnsi="仿宋" w:eastAsia="仿宋" w:cs="仿宋"/>
          <w:color w:val="auto"/>
          <w:kern w:val="0"/>
          <w:sz w:val="24"/>
          <w:szCs w:val="24"/>
          <w:lang w:eastAsia="zh-CN"/>
        </w:rPr>
        <w:t>；</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eastAsia="zh-CN"/>
        </w:rPr>
        <w:t>二是</w:t>
      </w:r>
      <w:r>
        <w:rPr>
          <w:rFonts w:hint="eastAsia" w:ascii="仿宋" w:hAnsi="仿宋" w:eastAsia="仿宋" w:cs="仿宋"/>
          <w:color w:val="auto"/>
          <w:kern w:val="0"/>
          <w:sz w:val="24"/>
          <w:szCs w:val="24"/>
        </w:rPr>
        <w:t>加强对广州市本级环卫一体化PPP项目(</w:t>
      </w:r>
      <w:r>
        <w:rPr>
          <w:rFonts w:hint="eastAsia" w:ascii="仿宋" w:hAnsi="仿宋" w:eastAsia="仿宋" w:cs="仿宋"/>
          <w:color w:val="auto"/>
          <w:kern w:val="0"/>
          <w:sz w:val="24"/>
          <w:szCs w:val="24"/>
          <w:lang w:eastAsia="zh-CN"/>
        </w:rPr>
        <w:t>水</w:t>
      </w:r>
      <w:r>
        <w:rPr>
          <w:rFonts w:hint="eastAsia" w:ascii="仿宋" w:hAnsi="仿宋" w:eastAsia="仿宋" w:cs="仿宋"/>
          <w:color w:val="auto"/>
          <w:kern w:val="0"/>
          <w:sz w:val="24"/>
          <w:szCs w:val="24"/>
        </w:rPr>
        <w:t>域)保洁</w:t>
      </w:r>
      <w:r>
        <w:rPr>
          <w:rFonts w:hint="eastAsia" w:ascii="仿宋" w:hAnsi="仿宋" w:eastAsia="仿宋" w:cs="仿宋"/>
          <w:color w:val="auto"/>
          <w:kern w:val="0"/>
          <w:sz w:val="24"/>
          <w:szCs w:val="24"/>
          <w:lang w:eastAsia="zh-CN"/>
        </w:rPr>
        <w:t>质量的监管</w:t>
      </w:r>
      <w:r>
        <w:rPr>
          <w:rFonts w:hint="eastAsia" w:ascii="仿宋" w:hAnsi="仿宋" w:eastAsia="仿宋" w:cs="仿宋"/>
          <w:color w:val="auto"/>
          <w:kern w:val="0"/>
          <w:sz w:val="24"/>
          <w:szCs w:val="24"/>
        </w:rPr>
        <w:t>、</w:t>
      </w:r>
      <w:r>
        <w:rPr>
          <w:rFonts w:hint="eastAsia" w:ascii="仿宋" w:hAnsi="仿宋" w:eastAsia="仿宋" w:cs="仿宋"/>
          <w:color w:val="auto"/>
          <w:kern w:val="0"/>
          <w:sz w:val="24"/>
          <w:szCs w:val="24"/>
          <w:lang w:eastAsia="zh-CN"/>
        </w:rPr>
        <w:t>考评；</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eastAsia="zh-CN"/>
        </w:rPr>
        <w:t>三是加强</w:t>
      </w:r>
      <w:r>
        <w:rPr>
          <w:rFonts w:hint="eastAsia" w:ascii="仿宋" w:hAnsi="仿宋" w:eastAsia="仿宋" w:cs="仿宋"/>
          <w:color w:val="auto"/>
          <w:kern w:val="0"/>
          <w:sz w:val="24"/>
          <w:szCs w:val="24"/>
          <w:lang w:val="en-US" w:eastAsia="zh-CN"/>
        </w:rPr>
        <w:t>11个行政区</w:t>
      </w:r>
      <w:r>
        <w:rPr>
          <w:rFonts w:hint="eastAsia" w:ascii="仿宋" w:hAnsi="仿宋" w:eastAsia="仿宋" w:cs="仿宋"/>
          <w:color w:val="auto"/>
          <w:kern w:val="0"/>
          <w:sz w:val="24"/>
          <w:szCs w:val="24"/>
          <w:lang w:eastAsia="zh-CN"/>
        </w:rPr>
        <w:t>水域</w:t>
      </w:r>
      <w:r>
        <w:rPr>
          <w:rFonts w:hint="eastAsia" w:ascii="仿宋" w:hAnsi="仿宋" w:eastAsia="仿宋" w:cs="仿宋"/>
          <w:color w:val="auto"/>
          <w:kern w:val="0"/>
          <w:sz w:val="24"/>
          <w:szCs w:val="24"/>
        </w:rPr>
        <w:t>保洁</w:t>
      </w:r>
      <w:r>
        <w:rPr>
          <w:rFonts w:hint="eastAsia" w:ascii="仿宋" w:hAnsi="仿宋" w:eastAsia="仿宋" w:cs="仿宋"/>
          <w:color w:val="auto"/>
          <w:kern w:val="0"/>
          <w:sz w:val="24"/>
          <w:szCs w:val="24"/>
          <w:lang w:eastAsia="zh-CN"/>
        </w:rPr>
        <w:t>质量</w:t>
      </w:r>
      <w:r>
        <w:rPr>
          <w:rFonts w:hint="eastAsia" w:ascii="仿宋" w:hAnsi="仿宋" w:eastAsia="仿宋" w:cs="仿宋"/>
          <w:color w:val="auto"/>
          <w:kern w:val="0"/>
          <w:sz w:val="24"/>
          <w:szCs w:val="24"/>
        </w:rPr>
        <w:t>等检查评价力度</w:t>
      </w:r>
      <w:r>
        <w:rPr>
          <w:rFonts w:hint="eastAsia" w:ascii="仿宋" w:hAnsi="仿宋" w:eastAsia="仿宋" w:cs="仿宋"/>
          <w:color w:val="auto"/>
          <w:kern w:val="0"/>
          <w:sz w:val="24"/>
          <w:szCs w:val="24"/>
          <w:lang w:eastAsia="zh-CN"/>
        </w:rPr>
        <w:t>。</w:t>
      </w:r>
      <w:r>
        <w:rPr>
          <w:rFonts w:hint="eastAsia" w:ascii="仿宋" w:hAnsi="仿宋" w:eastAsia="仿宋" w:cs="仿宋"/>
          <w:color w:val="auto"/>
          <w:kern w:val="0"/>
          <w:sz w:val="24"/>
          <w:szCs w:val="24"/>
        </w:rPr>
        <w:t>按照日监测、周反馈、月通报、年度考核等形式,进行常态化监测评价,对</w:t>
      </w:r>
      <w:r>
        <w:rPr>
          <w:rFonts w:hint="eastAsia" w:ascii="仿宋" w:hAnsi="仿宋" w:eastAsia="仿宋" w:cs="仿宋"/>
          <w:color w:val="auto"/>
          <w:kern w:val="0"/>
          <w:sz w:val="24"/>
          <w:szCs w:val="24"/>
          <w:lang w:eastAsia="zh-CN"/>
        </w:rPr>
        <w:t>水域</w:t>
      </w:r>
      <w:r>
        <w:rPr>
          <w:rFonts w:hint="eastAsia" w:ascii="仿宋" w:hAnsi="仿宋" w:eastAsia="仿宋" w:cs="仿宋"/>
          <w:color w:val="auto"/>
          <w:kern w:val="0"/>
          <w:sz w:val="24"/>
          <w:szCs w:val="24"/>
        </w:rPr>
        <w:t>保洁工作的作业情况及落实</w:t>
      </w:r>
      <w:r>
        <w:rPr>
          <w:rFonts w:hint="eastAsia" w:ascii="仿宋" w:hAnsi="仿宋" w:eastAsia="仿宋" w:cs="仿宋"/>
          <w:color w:val="auto"/>
          <w:kern w:val="0"/>
          <w:sz w:val="24"/>
          <w:szCs w:val="24"/>
          <w:lang w:eastAsia="zh-CN"/>
        </w:rPr>
        <w:t>水域</w:t>
      </w:r>
      <w:r>
        <w:rPr>
          <w:rFonts w:hint="eastAsia" w:ascii="仿宋" w:hAnsi="仿宋" w:eastAsia="仿宋" w:cs="仿宋"/>
          <w:color w:val="auto"/>
          <w:kern w:val="0"/>
          <w:sz w:val="24"/>
          <w:szCs w:val="24"/>
        </w:rPr>
        <w:t>作业规范要求进行动态化的检查、评价、通报,以提升公平公正的</w:t>
      </w:r>
      <w:r>
        <w:rPr>
          <w:rFonts w:hint="eastAsia" w:ascii="仿宋" w:hAnsi="仿宋" w:eastAsia="仿宋" w:cs="仿宋"/>
          <w:color w:val="auto"/>
          <w:kern w:val="0"/>
          <w:sz w:val="24"/>
          <w:szCs w:val="24"/>
          <w:lang w:eastAsia="zh-CN"/>
        </w:rPr>
        <w:t>水域</w:t>
      </w:r>
      <w:r>
        <w:rPr>
          <w:rFonts w:hint="eastAsia" w:ascii="仿宋" w:hAnsi="仿宋" w:eastAsia="仿宋" w:cs="仿宋"/>
          <w:color w:val="auto"/>
          <w:kern w:val="0"/>
          <w:sz w:val="24"/>
          <w:szCs w:val="24"/>
        </w:rPr>
        <w:t>作业质量评价能力,提高监管专业化水平。</w:t>
      </w:r>
    </w:p>
    <w:p>
      <w:pP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br w:type="page"/>
      </w:r>
    </w:p>
    <w:p>
      <w:pPr>
        <w:pStyle w:val="2"/>
        <w:ind w:firstLine="260" w:firstLineChars="100"/>
        <w:rPr>
          <w:rFonts w:hint="default" w:ascii="仿宋" w:hAnsi="仿宋" w:eastAsia="仿宋" w:cs="仿宋"/>
          <w:color w:val="auto"/>
          <w:kern w:val="0"/>
          <w:sz w:val="24"/>
          <w:szCs w:val="24"/>
          <w:lang w:val="en-US" w:eastAsia="zh-CN"/>
        </w:rPr>
      </w:pPr>
    </w:p>
    <w:p>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lang w:val="en-US" w:eastAsia="zh-CN"/>
        </w:rPr>
        <w:t>采购</w:t>
      </w:r>
      <w:r>
        <w:rPr>
          <w:rFonts w:hint="eastAsia" w:ascii="仿宋" w:hAnsi="仿宋" w:eastAsia="仿宋" w:cs="仿宋"/>
          <w:b/>
          <w:bCs/>
          <w:color w:val="auto"/>
          <w:sz w:val="24"/>
          <w:szCs w:val="28"/>
        </w:rPr>
        <w:t>包1（</w:t>
      </w:r>
      <w:r>
        <w:rPr>
          <w:rFonts w:hint="eastAsia" w:ascii="仿宋" w:hAnsi="仿宋" w:eastAsia="仿宋" w:cs="仿宋"/>
          <w:b/>
          <w:bCs/>
          <w:color w:val="auto"/>
          <w:sz w:val="24"/>
          <w:szCs w:val="28"/>
          <w:lang w:eastAsia="zh-CN"/>
        </w:rPr>
        <w:t>全市水域考评、评价巡查项目</w:t>
      </w:r>
      <w:r>
        <w:rPr>
          <w:rFonts w:hint="eastAsia" w:ascii="仿宋" w:hAnsi="仿宋" w:eastAsia="仿宋" w:cs="仿宋"/>
          <w:b/>
          <w:bCs/>
          <w:color w:val="auto"/>
          <w:sz w:val="24"/>
          <w:szCs w:val="28"/>
        </w:rPr>
        <w:t>）</w:t>
      </w:r>
    </w:p>
    <w:p>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rPr>
        <w:t>1.主要商务要求</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6"/>
        <w:gridCol w:w="6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标的提供的时间</w:t>
            </w:r>
          </w:p>
        </w:tc>
        <w:tc>
          <w:tcPr>
            <w:tcW w:w="6436" w:type="dxa"/>
          </w:tcPr>
          <w:p>
            <w:pPr>
              <w:autoSpaceDE w:val="0"/>
              <w:autoSpaceDN w:val="0"/>
              <w:adjustRightInd w:val="0"/>
              <w:spacing w:line="360" w:lineRule="auto"/>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
              </w:rPr>
              <w:t>2023</w:t>
            </w:r>
            <w:r>
              <w:rPr>
                <w:rFonts w:hint="eastAsia" w:ascii="仿宋" w:hAnsi="仿宋" w:eastAsia="仿宋" w:cs="仿宋"/>
                <w:color w:val="auto"/>
                <w:kern w:val="0"/>
                <w:sz w:val="24"/>
                <w:szCs w:val="24"/>
                <w:lang w:val="en" w:eastAsia="zh-CN"/>
              </w:rPr>
              <w:t>年</w:t>
            </w:r>
            <w:r>
              <w:rPr>
                <w:rFonts w:hint="eastAsia" w:ascii="仿宋" w:hAnsi="仿宋" w:eastAsia="仿宋" w:cs="仿宋"/>
                <w:color w:val="auto"/>
                <w:kern w:val="0"/>
                <w:sz w:val="24"/>
                <w:szCs w:val="24"/>
                <w:lang w:val="en-US" w:eastAsia="zh-CN"/>
              </w:rPr>
              <w:t>7月1日-2026年6月30日</w:t>
            </w:r>
            <w:r>
              <w:rPr>
                <w:rFonts w:hint="eastAsia" w:ascii="仿宋" w:hAnsi="仿宋" w:eastAsia="仿宋" w:cs="仿宋"/>
                <w:color w:val="auto"/>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标的提供的地点</w:t>
            </w:r>
          </w:p>
        </w:tc>
        <w:tc>
          <w:tcPr>
            <w:tcW w:w="6436" w:type="dxa"/>
          </w:tcPr>
          <w:p>
            <w:pPr>
              <w:autoSpaceDE w:val="0"/>
              <w:autoSpaceDN w:val="0"/>
              <w:adjustRightInd w:val="0"/>
              <w:spacing w:line="360" w:lineRule="auto"/>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全市11个行政区河道、河涌、湖泊、水库、水渠等水域；黄埔、番禺、南沙区海岸线向海一侧200米水域范围。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付款方式</w:t>
            </w:r>
          </w:p>
        </w:tc>
        <w:tc>
          <w:tcPr>
            <w:tcW w:w="6436" w:type="dxa"/>
          </w:tcPr>
          <w:p>
            <w:pPr>
              <w:autoSpaceDE w:val="0"/>
              <w:autoSpaceDN w:val="0"/>
              <w:adjustRightInd w:val="0"/>
              <w:spacing w:line="360" w:lineRule="auto"/>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1期：</w:t>
            </w:r>
            <w:r>
              <w:rPr>
                <w:rFonts w:hint="eastAsia" w:ascii="仿宋" w:hAnsi="仿宋" w:eastAsia="仿宋" w:cs="仿宋"/>
                <w:color w:val="auto"/>
                <w:kern w:val="0"/>
                <w:sz w:val="24"/>
                <w:szCs w:val="24"/>
                <w:lang w:val="en-US" w:eastAsia="zh-CN"/>
              </w:rPr>
              <w:t>支付比例100%，</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（1）费用按月进行支付。自签订合同的第2个月起,中标人每完成1个月工作任务后5个工作日内,向采购人申请支付前1个月的服务费。</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（2）结算金额。采购人每月根据</w:t>
            </w:r>
            <w:r>
              <w:rPr>
                <w:rFonts w:hint="eastAsia" w:ascii="仿宋" w:hAnsi="仿宋" w:eastAsia="仿宋" w:cs="仿宋"/>
                <w:color w:val="auto"/>
                <w:kern w:val="0"/>
                <w:sz w:val="24"/>
                <w:szCs w:val="24"/>
              </w:rPr>
              <w:t>《广州市水域巡查考评办法》</w:t>
            </w:r>
            <w:r>
              <w:rPr>
                <w:rFonts w:hint="eastAsia" w:ascii="仿宋" w:hAnsi="仿宋" w:eastAsia="仿宋" w:cs="仿宋"/>
                <w:color w:val="auto"/>
                <w:kern w:val="0"/>
                <w:sz w:val="24"/>
                <w:szCs w:val="24"/>
                <w:lang w:val="en-US" w:eastAsia="zh-CN"/>
              </w:rPr>
              <w:t>的考核结果做为结算依据，月得分90分以上（含90分）为合格，采购人应向中标人支付当月全额经费；低于90分的，每少1分（不足1分按1分计），扣减当月全额经费的1%并以此类推；合同签订后，首月未能如期开展工作的情况下，首月按天计算经费。</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（3）本项目为合同总价包干,平均每月服务费款项为合同总价的1/36，每天费用为月费用的1/30。</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（4）每次按合同支付款项前,中标人应向采购人提供与支付金额相符的有效发票,且收款方、出具发票方、合同乙方均必须与中标人名称一致。</w:t>
            </w:r>
          </w:p>
          <w:p>
            <w:pPr>
              <w:autoSpaceDE w:val="0"/>
              <w:autoSpaceDN w:val="0"/>
              <w:adjustRightInd w:val="0"/>
              <w:spacing w:line="360" w:lineRule="auto"/>
              <w:ind w:firstLine="480" w:firstLineChars="200"/>
              <w:jc w:val="left"/>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（5）付款方式:采用支票、银行汇票、电汇三种形式。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验收要求</w:t>
            </w:r>
          </w:p>
        </w:tc>
        <w:tc>
          <w:tcPr>
            <w:tcW w:w="6436" w:type="dxa"/>
          </w:tcPr>
          <w:p>
            <w:pPr>
              <w:autoSpaceDE w:val="0"/>
              <w:autoSpaceDN w:val="0"/>
              <w:adjustRightInd w:val="0"/>
              <w:spacing w:line="360" w:lineRule="auto"/>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期：采购人根据《广州市水域巡查考评办法》的内容对中标人进行考核及验收,采购人每月形成一次考核结果，月得分90分以上（含90分）为合格。中标人连续3次月考核低于90分或年度内每月考核结果平均得分低于90分(不含90分)则为不合格。如验收不通过,采购人有权解除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履约保证金</w:t>
            </w:r>
          </w:p>
        </w:tc>
        <w:tc>
          <w:tcPr>
            <w:tcW w:w="6436" w:type="dxa"/>
          </w:tcPr>
          <w:p>
            <w:pPr>
              <w:autoSpaceDE w:val="0"/>
              <w:autoSpaceDN w:val="0"/>
              <w:adjustRightInd w:val="0"/>
              <w:spacing w:line="360" w:lineRule="auto"/>
              <w:jc w:val="left"/>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其他</w:t>
            </w:r>
          </w:p>
        </w:tc>
        <w:tc>
          <w:tcPr>
            <w:tcW w:w="6436" w:type="dxa"/>
          </w:tcPr>
          <w:p>
            <w:pPr>
              <w:autoSpaceDE w:val="0"/>
              <w:autoSpaceDN w:val="0"/>
              <w:adjustRightInd w:val="0"/>
              <w:spacing w:line="360" w:lineRule="auto"/>
              <w:jc w:val="left"/>
              <w:rPr>
                <w:rFonts w:hint="eastAsia" w:ascii="仿宋" w:hAnsi="仿宋" w:eastAsia="仿宋" w:cs="仿宋"/>
                <w:b/>
                <w:bCs/>
                <w:color w:val="auto"/>
                <w:kern w:val="0"/>
                <w:sz w:val="24"/>
                <w:szCs w:val="24"/>
                <w:lang w:eastAsia="zh-CN"/>
              </w:rPr>
            </w:pPr>
            <w:r>
              <w:rPr>
                <w:rFonts w:hint="eastAsia" w:ascii="仿宋" w:hAnsi="仿宋" w:eastAsia="仿宋" w:cs="仿宋"/>
                <w:b/>
                <w:bCs/>
                <w:color w:val="auto"/>
                <w:kern w:val="0"/>
                <w:sz w:val="24"/>
                <w:szCs w:val="24"/>
                <w:lang w:eastAsia="zh-CN"/>
              </w:rPr>
              <w:t>（</w:t>
            </w:r>
            <w:r>
              <w:rPr>
                <w:rFonts w:hint="eastAsia" w:ascii="仿宋" w:hAnsi="仿宋" w:eastAsia="仿宋" w:cs="仿宋"/>
                <w:b/>
                <w:bCs/>
                <w:color w:val="auto"/>
                <w:kern w:val="0"/>
                <w:sz w:val="24"/>
                <w:szCs w:val="24"/>
                <w:lang w:val="en-US" w:eastAsia="zh-CN"/>
              </w:rPr>
              <w:t>1</w:t>
            </w:r>
            <w:r>
              <w:rPr>
                <w:rFonts w:hint="eastAsia" w:ascii="仿宋" w:hAnsi="仿宋" w:eastAsia="仿宋" w:cs="仿宋"/>
                <w:b/>
                <w:bCs/>
                <w:color w:val="auto"/>
                <w:kern w:val="0"/>
                <w:sz w:val="24"/>
                <w:szCs w:val="24"/>
                <w:lang w:eastAsia="zh-CN"/>
              </w:rPr>
              <w:t>）</w:t>
            </w:r>
            <w:r>
              <w:rPr>
                <w:rFonts w:hint="eastAsia" w:ascii="仿宋" w:hAnsi="仿宋" w:eastAsia="仿宋" w:cs="仿宋"/>
                <w:b/>
                <w:bCs/>
                <w:color w:val="auto"/>
                <w:kern w:val="0"/>
                <w:sz w:val="24"/>
                <w:szCs w:val="24"/>
              </w:rPr>
              <w:t>报价要求</w:t>
            </w:r>
            <w:r>
              <w:rPr>
                <w:rFonts w:hint="eastAsia" w:ascii="仿宋" w:hAnsi="仿宋" w:eastAsia="仿宋" w:cs="仿宋"/>
                <w:b/>
                <w:bCs/>
                <w:color w:val="auto"/>
                <w:kern w:val="0"/>
                <w:sz w:val="24"/>
                <w:szCs w:val="24"/>
                <w:lang w:eastAsia="zh-CN"/>
              </w:rPr>
              <w:t>：</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①投标人的报价应包括提供本项目服务时所需人员、设备、交通、运输、安装、相关部门验收等所有费用,以及投标人认为必要的其他人员、设备、安装、服务、版权、专利等一切费用。</w:t>
            </w:r>
          </w:p>
          <w:p>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②报价包括但不限于服务人员薪酬、税金、购置/租赁车辆（船只）、车辆（船只）保险费用、燃油（电）费、车辆（船只）维修保养等费用,采购人将不再另外支付任何费用,中标人不得以任何理由向采购人主张额外费用及调整。</w:t>
            </w:r>
          </w:p>
          <w:p>
            <w:pPr>
              <w:numPr>
                <w:ilvl w:val="0"/>
                <w:numId w:val="1"/>
              </w:numPr>
              <w:autoSpaceDE w:val="0"/>
              <w:autoSpaceDN w:val="0"/>
              <w:adjustRightInd w:val="0"/>
              <w:spacing w:line="360" w:lineRule="auto"/>
              <w:jc w:val="left"/>
              <w:rPr>
                <w:rFonts w:hint="eastAsia"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其他要求：</w:t>
            </w:r>
          </w:p>
          <w:p>
            <w:pPr>
              <w:numPr>
                <w:ilvl w:val="0"/>
                <w:numId w:val="0"/>
              </w:num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中标人在军事区域附近水域巡查时，须严格遵守国家和军队有关法律及保密要求，严禁在军事设施周边摄影、拍照、录音、录像，如有违反，相关责任全部由中标人承担，采购人概不负责。</w:t>
            </w:r>
          </w:p>
        </w:tc>
      </w:tr>
    </w:tbl>
    <w:p>
      <w:pPr>
        <w:rPr>
          <w:rFonts w:hint="eastAsia" w:ascii="仿宋" w:hAnsi="仿宋" w:eastAsia="仿宋" w:cs="仿宋"/>
          <w:color w:val="auto"/>
        </w:rPr>
      </w:pPr>
      <w:r>
        <w:rPr>
          <w:rFonts w:hint="eastAsia" w:ascii="仿宋" w:hAnsi="仿宋" w:eastAsia="仿宋" w:cs="仿宋"/>
          <w:color w:val="auto"/>
        </w:rPr>
        <w:br w:type="page"/>
      </w:r>
    </w:p>
    <w:p>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rPr>
        <w:t>2.技术标准与要求</w:t>
      </w:r>
    </w:p>
    <w:tbl>
      <w:tblPr>
        <w:tblStyle w:val="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1030"/>
        <w:gridCol w:w="980"/>
        <w:gridCol w:w="409"/>
        <w:gridCol w:w="510"/>
        <w:gridCol w:w="1560"/>
        <w:gridCol w:w="1532"/>
        <w:gridCol w:w="1019"/>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序号</w:t>
            </w:r>
          </w:p>
        </w:tc>
        <w:tc>
          <w:tcPr>
            <w:tcW w:w="604"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品目名称</w:t>
            </w:r>
          </w:p>
        </w:tc>
        <w:tc>
          <w:tcPr>
            <w:tcW w:w="575"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标的名称</w:t>
            </w:r>
          </w:p>
        </w:tc>
        <w:tc>
          <w:tcPr>
            <w:tcW w:w="240"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单位</w:t>
            </w:r>
          </w:p>
        </w:tc>
        <w:tc>
          <w:tcPr>
            <w:tcW w:w="299"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数量</w:t>
            </w:r>
          </w:p>
        </w:tc>
        <w:tc>
          <w:tcPr>
            <w:tcW w:w="915"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分项预算单价（元）</w:t>
            </w:r>
          </w:p>
        </w:tc>
        <w:tc>
          <w:tcPr>
            <w:tcW w:w="899"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分项预算总价（元）</w:t>
            </w:r>
          </w:p>
        </w:tc>
        <w:tc>
          <w:tcPr>
            <w:tcW w:w="598"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所属行业</w:t>
            </w:r>
          </w:p>
        </w:tc>
        <w:tc>
          <w:tcPr>
            <w:tcW w:w="528"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技术</w:t>
            </w:r>
          </w:p>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1</w:t>
            </w:r>
          </w:p>
        </w:tc>
        <w:tc>
          <w:tcPr>
            <w:tcW w:w="604"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其他专业技术服务</w:t>
            </w:r>
          </w:p>
        </w:tc>
        <w:tc>
          <w:tcPr>
            <w:tcW w:w="575" w:type="pct"/>
            <w:vAlign w:val="center"/>
          </w:tcPr>
          <w:p>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全市水域考评、评价巡查项目</w:t>
            </w:r>
          </w:p>
        </w:tc>
        <w:tc>
          <w:tcPr>
            <w:tcW w:w="240"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项</w:t>
            </w:r>
          </w:p>
        </w:tc>
        <w:tc>
          <w:tcPr>
            <w:tcW w:w="299"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915" w:type="pct"/>
            <w:vAlign w:val="center"/>
          </w:tcPr>
          <w:p>
            <w:pPr>
              <w:autoSpaceDE w:val="0"/>
              <w:autoSpaceDN w:val="0"/>
              <w:spacing w:line="360" w:lineRule="auto"/>
              <w:jc w:val="center"/>
              <w:rPr>
                <w:rFonts w:hint="default" w:ascii="仿宋" w:hAnsi="仿宋" w:eastAsia="仿宋" w:cs="仿宋"/>
                <w:color w:val="auto"/>
                <w:kern w:val="0"/>
                <w:sz w:val="24"/>
                <w:u w:val="none"/>
                <w:lang w:val="en-US" w:eastAsia="zh-CN"/>
              </w:rPr>
            </w:pPr>
            <w:r>
              <w:rPr>
                <w:rFonts w:hint="eastAsia" w:ascii="仿宋" w:hAnsi="仿宋" w:eastAsia="仿宋" w:cs="仿宋"/>
                <w:color w:val="auto"/>
                <w:kern w:val="0"/>
                <w:sz w:val="24"/>
                <w:szCs w:val="24"/>
                <w:u w:val="none"/>
              </w:rPr>
              <w:t>21</w:t>
            </w:r>
            <w:r>
              <w:rPr>
                <w:rFonts w:hint="eastAsia" w:ascii="仿宋" w:hAnsi="仿宋" w:eastAsia="仿宋" w:cs="仿宋"/>
                <w:color w:val="auto"/>
                <w:kern w:val="0"/>
                <w:sz w:val="24"/>
                <w:szCs w:val="24"/>
                <w:u w:val="none"/>
                <w:lang w:val="en-US" w:eastAsia="zh-CN"/>
              </w:rPr>
              <w:t>,</w:t>
            </w:r>
            <w:r>
              <w:rPr>
                <w:rFonts w:hint="eastAsia" w:ascii="仿宋" w:hAnsi="仿宋" w:eastAsia="仿宋" w:cs="仿宋"/>
                <w:color w:val="auto"/>
                <w:kern w:val="0"/>
                <w:sz w:val="24"/>
                <w:szCs w:val="24"/>
                <w:u w:val="none"/>
              </w:rPr>
              <w:t>673</w:t>
            </w:r>
            <w:r>
              <w:rPr>
                <w:rFonts w:hint="eastAsia" w:ascii="仿宋" w:hAnsi="仿宋" w:eastAsia="仿宋" w:cs="仿宋"/>
                <w:color w:val="auto"/>
                <w:kern w:val="0"/>
                <w:sz w:val="24"/>
                <w:szCs w:val="24"/>
                <w:u w:val="none"/>
                <w:lang w:val="en-US" w:eastAsia="zh-CN"/>
              </w:rPr>
              <w:t>,</w:t>
            </w:r>
            <w:r>
              <w:rPr>
                <w:rFonts w:hint="eastAsia" w:ascii="仿宋" w:hAnsi="仿宋" w:eastAsia="仿宋" w:cs="仿宋"/>
                <w:color w:val="auto"/>
                <w:kern w:val="0"/>
                <w:sz w:val="24"/>
                <w:szCs w:val="24"/>
                <w:u w:val="none"/>
              </w:rPr>
              <w:t>9</w:t>
            </w:r>
            <w:r>
              <w:rPr>
                <w:rFonts w:hint="eastAsia" w:ascii="仿宋" w:hAnsi="仿宋" w:eastAsia="仿宋" w:cs="仿宋"/>
                <w:color w:val="auto"/>
                <w:kern w:val="0"/>
                <w:sz w:val="24"/>
                <w:szCs w:val="24"/>
                <w:u w:val="none"/>
                <w:lang w:val="en-US" w:eastAsia="zh-CN"/>
              </w:rPr>
              <w:t>00</w:t>
            </w:r>
          </w:p>
        </w:tc>
        <w:tc>
          <w:tcPr>
            <w:tcW w:w="899" w:type="pct"/>
            <w:vAlign w:val="center"/>
          </w:tcPr>
          <w:p>
            <w:pPr>
              <w:autoSpaceDE w:val="0"/>
              <w:autoSpaceDN w:val="0"/>
              <w:spacing w:line="360" w:lineRule="auto"/>
              <w:jc w:val="center"/>
              <w:rPr>
                <w:rFonts w:hint="eastAsia" w:ascii="仿宋" w:hAnsi="仿宋" w:eastAsia="仿宋" w:cs="仿宋"/>
                <w:color w:val="auto"/>
                <w:kern w:val="0"/>
                <w:sz w:val="24"/>
                <w:u w:val="none"/>
              </w:rPr>
            </w:pPr>
            <w:r>
              <w:rPr>
                <w:rFonts w:hint="eastAsia" w:ascii="仿宋" w:hAnsi="仿宋" w:eastAsia="仿宋" w:cs="仿宋"/>
                <w:color w:val="auto"/>
                <w:kern w:val="0"/>
                <w:sz w:val="24"/>
                <w:szCs w:val="24"/>
                <w:u w:val="none"/>
              </w:rPr>
              <w:t>21</w:t>
            </w:r>
            <w:r>
              <w:rPr>
                <w:rFonts w:hint="eastAsia" w:ascii="仿宋" w:hAnsi="仿宋" w:eastAsia="仿宋" w:cs="仿宋"/>
                <w:color w:val="auto"/>
                <w:kern w:val="0"/>
                <w:sz w:val="24"/>
                <w:szCs w:val="24"/>
                <w:u w:val="none"/>
                <w:lang w:val="en-US" w:eastAsia="zh-CN"/>
              </w:rPr>
              <w:t>,</w:t>
            </w:r>
            <w:r>
              <w:rPr>
                <w:rFonts w:hint="eastAsia" w:ascii="仿宋" w:hAnsi="仿宋" w:eastAsia="仿宋" w:cs="仿宋"/>
                <w:color w:val="auto"/>
                <w:kern w:val="0"/>
                <w:sz w:val="24"/>
                <w:szCs w:val="24"/>
                <w:u w:val="none"/>
              </w:rPr>
              <w:t>673</w:t>
            </w:r>
            <w:r>
              <w:rPr>
                <w:rFonts w:hint="eastAsia" w:ascii="仿宋" w:hAnsi="仿宋" w:eastAsia="仿宋" w:cs="仿宋"/>
                <w:color w:val="auto"/>
                <w:kern w:val="0"/>
                <w:sz w:val="24"/>
                <w:szCs w:val="24"/>
                <w:u w:val="none"/>
                <w:lang w:val="en-US" w:eastAsia="zh-CN"/>
              </w:rPr>
              <w:t>,</w:t>
            </w:r>
            <w:r>
              <w:rPr>
                <w:rFonts w:hint="eastAsia" w:ascii="仿宋" w:hAnsi="仿宋" w:eastAsia="仿宋" w:cs="仿宋"/>
                <w:color w:val="auto"/>
                <w:kern w:val="0"/>
                <w:sz w:val="24"/>
                <w:szCs w:val="24"/>
                <w:u w:val="none"/>
              </w:rPr>
              <w:t>9</w:t>
            </w:r>
            <w:r>
              <w:rPr>
                <w:rFonts w:hint="eastAsia" w:ascii="仿宋" w:hAnsi="仿宋" w:eastAsia="仿宋" w:cs="仿宋"/>
                <w:color w:val="auto"/>
                <w:kern w:val="0"/>
                <w:sz w:val="24"/>
                <w:szCs w:val="24"/>
                <w:u w:val="none"/>
                <w:lang w:val="en-US" w:eastAsia="zh-CN"/>
              </w:rPr>
              <w:t>00</w:t>
            </w:r>
          </w:p>
        </w:tc>
        <w:tc>
          <w:tcPr>
            <w:tcW w:w="598" w:type="pct"/>
            <w:vAlign w:val="center"/>
          </w:tcPr>
          <w:p>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其他未列明行业</w:t>
            </w:r>
          </w:p>
        </w:tc>
        <w:tc>
          <w:tcPr>
            <w:tcW w:w="528" w:type="pct"/>
            <w:vAlign w:val="center"/>
          </w:tcPr>
          <w:p>
            <w:pPr>
              <w:autoSpaceDE w:val="0"/>
              <w:autoSpaceDN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详见附表一</w:t>
            </w:r>
          </w:p>
        </w:tc>
      </w:tr>
    </w:tbl>
    <w:p>
      <w:pPr>
        <w:autoSpaceDE w:val="0"/>
        <w:autoSpaceDN w:val="0"/>
        <w:adjustRightInd w:val="0"/>
        <w:spacing w:line="360" w:lineRule="auto"/>
        <w:jc w:val="left"/>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注：</w:t>
      </w:r>
      <w:r>
        <w:rPr>
          <w:rFonts w:hint="eastAsia" w:ascii="仿宋" w:hAnsi="仿宋" w:eastAsia="仿宋" w:cs="仿宋"/>
          <w:color w:val="auto"/>
          <w:kern w:val="0"/>
          <w:sz w:val="24"/>
          <w:szCs w:val="24"/>
          <w:lang w:val="en-US" w:eastAsia="zh-CN"/>
        </w:rPr>
        <w:t>若存在多项核心产品，当不同供应商提供的任意一项核心产品的品牌相同，则视同其是所响应核心产品品牌相同供应商。</w:t>
      </w:r>
    </w:p>
    <w:p>
      <w:pPr>
        <w:autoSpaceDE w:val="0"/>
        <w:autoSpaceDN w:val="0"/>
        <w:adjustRightInd w:val="0"/>
        <w:spacing w:line="360" w:lineRule="auto"/>
        <w:jc w:val="left"/>
        <w:rPr>
          <w:rFonts w:hint="eastAsia" w:ascii="仿宋" w:hAnsi="仿宋" w:eastAsia="仿宋" w:cs="仿宋"/>
          <w:color w:val="auto"/>
          <w:kern w:val="0"/>
          <w:sz w:val="24"/>
          <w:szCs w:val="24"/>
        </w:rPr>
      </w:pPr>
    </w:p>
    <w:p>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rPr>
        <w:t>附表一：（</w:t>
      </w:r>
      <w:r>
        <w:rPr>
          <w:rFonts w:hint="eastAsia" w:ascii="仿宋" w:hAnsi="仿宋" w:eastAsia="仿宋" w:cs="仿宋"/>
          <w:b/>
          <w:bCs/>
          <w:color w:val="auto"/>
          <w:sz w:val="24"/>
          <w:szCs w:val="28"/>
          <w:lang w:eastAsia="zh-CN"/>
        </w:rPr>
        <w:t>全市水域考评、评价巡查项目</w:t>
      </w:r>
      <w:r>
        <w:rPr>
          <w:rFonts w:hint="eastAsia" w:ascii="仿宋" w:hAnsi="仿宋" w:eastAsia="仿宋" w:cs="仿宋"/>
          <w:b/>
          <w:bCs/>
          <w:color w:val="auto"/>
          <w:sz w:val="24"/>
          <w:szCs w:val="28"/>
        </w:rPr>
        <w:t>）</w:t>
      </w:r>
    </w:p>
    <w:tbl>
      <w:tblPr>
        <w:tblStyle w:val="8"/>
        <w:tblW w:w="8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7"/>
        <w:gridCol w:w="721"/>
        <w:gridCol w:w="6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参数性质</w:t>
            </w:r>
          </w:p>
        </w:tc>
        <w:tc>
          <w:tcPr>
            <w:tcW w:w="721"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序号</w:t>
            </w:r>
          </w:p>
        </w:tc>
        <w:tc>
          <w:tcPr>
            <w:tcW w:w="6590"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具体技术(参数)要求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pPr>
              <w:pStyle w:val="10"/>
              <w:numPr>
                <w:ilvl w:val="0"/>
                <w:numId w:val="0"/>
              </w:numPr>
              <w:autoSpaceDE w:val="0"/>
              <w:autoSpaceDN w:val="0"/>
              <w:spacing w:line="360" w:lineRule="auto"/>
              <w:ind w:left="210" w:leftChars="0"/>
              <w:jc w:val="both"/>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6590" w:type="dxa"/>
            <w:vAlign w:val="center"/>
          </w:tcPr>
          <w:p>
            <w:pPr>
              <w:autoSpaceDE w:val="0"/>
              <w:autoSpaceDN w:val="0"/>
              <w:adjustRightInd w:val="0"/>
              <w:spacing w:line="360" w:lineRule="auto"/>
              <w:jc w:val="both"/>
              <w:rPr>
                <w:rFonts w:hint="default" w:ascii="仿宋" w:hAnsi="仿宋" w:eastAsia="仿宋" w:cs="仿宋"/>
                <w:color w:val="auto"/>
                <w:kern w:val="0"/>
                <w:sz w:val="24"/>
                <w:szCs w:val="24"/>
                <w:lang w:val="en-US" w:eastAsia="zh-CN"/>
              </w:rPr>
            </w:pPr>
            <w:r>
              <w:rPr>
                <w:rFonts w:hint="default" w:ascii="仿宋" w:hAnsi="仿宋" w:eastAsia="仿宋" w:cs="仿宋"/>
                <w:b/>
                <w:bCs/>
                <w:color w:val="auto"/>
                <w:kern w:val="0"/>
                <w:sz w:val="24"/>
                <w:szCs w:val="24"/>
                <w:lang w:val="en-US" w:eastAsia="zh-CN"/>
              </w:rPr>
              <w:t>服务内容:</w:t>
            </w:r>
            <w:r>
              <w:rPr>
                <w:rFonts w:hint="default" w:ascii="仿宋" w:hAnsi="仿宋" w:eastAsia="仿宋" w:cs="仿宋"/>
                <w:color w:val="auto"/>
                <w:kern w:val="0"/>
                <w:sz w:val="24"/>
                <w:szCs w:val="24"/>
                <w:lang w:val="en-US" w:eastAsia="zh-CN"/>
              </w:rPr>
              <w:t>广州市水域保洁质量第三方评价。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pPr>
              <w:pStyle w:val="10"/>
              <w:numPr>
                <w:ilvl w:val="0"/>
                <w:numId w:val="0"/>
              </w:numPr>
              <w:autoSpaceDE w:val="0"/>
              <w:autoSpaceDN w:val="0"/>
              <w:spacing w:line="360" w:lineRule="auto"/>
              <w:ind w:left="210" w:leftChars="0"/>
              <w:jc w:val="both"/>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2</w:t>
            </w:r>
          </w:p>
        </w:tc>
        <w:tc>
          <w:tcPr>
            <w:tcW w:w="6590" w:type="dxa"/>
            <w:vAlign w:val="center"/>
          </w:tcPr>
          <w:p>
            <w:pPr>
              <w:autoSpaceDE w:val="0"/>
              <w:autoSpaceDN w:val="0"/>
              <w:adjustRightInd w:val="0"/>
              <w:spacing w:line="360" w:lineRule="auto"/>
              <w:jc w:val="both"/>
              <w:rPr>
                <w:rFonts w:hint="default" w:ascii="仿宋" w:hAnsi="仿宋" w:eastAsia="仿宋" w:cs="仿宋"/>
                <w:b/>
                <w:bCs/>
                <w:color w:val="auto"/>
                <w:kern w:val="0"/>
                <w:sz w:val="24"/>
                <w:szCs w:val="24"/>
                <w:lang w:val="en-US" w:eastAsia="zh-CN"/>
              </w:rPr>
            </w:pPr>
            <w:r>
              <w:rPr>
                <w:rFonts w:hint="default" w:ascii="仿宋" w:hAnsi="仿宋" w:eastAsia="仿宋" w:cs="仿宋"/>
                <w:b/>
                <w:bCs/>
                <w:color w:val="auto"/>
                <w:kern w:val="0"/>
                <w:sz w:val="24"/>
                <w:szCs w:val="24"/>
                <w:lang w:val="en-US" w:eastAsia="zh-CN"/>
              </w:rPr>
              <w:t>服务范围：</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w:t>
            </w:r>
            <w:r>
              <w:rPr>
                <w:rFonts w:hint="default" w:ascii="仿宋" w:hAnsi="仿宋" w:eastAsia="仿宋" w:cs="仿宋"/>
                <w:color w:val="auto"/>
                <w:kern w:val="0"/>
                <w:sz w:val="24"/>
                <w:szCs w:val="24"/>
                <w:lang w:val="en-US" w:eastAsia="zh-CN"/>
              </w:rPr>
              <w:t>广州市本级环卫一体化PPP项目(水域)保洁范围</w:t>
            </w:r>
            <w:r>
              <w:rPr>
                <w:rFonts w:hint="eastAsia" w:ascii="仿宋" w:hAnsi="仿宋" w:eastAsia="仿宋" w:cs="仿宋"/>
                <w:color w:val="auto"/>
                <w:kern w:val="0"/>
                <w:sz w:val="24"/>
                <w:szCs w:val="24"/>
                <w:lang w:val="en-US" w:eastAsia="zh-CN"/>
              </w:rPr>
              <w:t>；</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（2）</w:t>
            </w:r>
            <w:r>
              <w:rPr>
                <w:rFonts w:hint="default" w:ascii="仿宋" w:hAnsi="仿宋" w:eastAsia="仿宋" w:cs="仿宋"/>
                <w:color w:val="auto"/>
                <w:kern w:val="0"/>
                <w:sz w:val="24"/>
                <w:szCs w:val="24"/>
                <w:lang w:val="en-US" w:eastAsia="zh-CN"/>
              </w:rPr>
              <w:t>全市11个行政区河道、河涌、湖泊、水库、水渠等水域</w:t>
            </w:r>
            <w:r>
              <w:rPr>
                <w:rFonts w:hint="eastAsia" w:ascii="仿宋" w:hAnsi="仿宋" w:eastAsia="仿宋" w:cs="仿宋"/>
                <w:color w:val="auto"/>
                <w:kern w:val="0"/>
                <w:sz w:val="24"/>
                <w:szCs w:val="24"/>
                <w:lang w:val="en-US" w:eastAsia="zh-CN"/>
              </w:rPr>
              <w:t>；</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（3）</w:t>
            </w:r>
            <w:r>
              <w:rPr>
                <w:rFonts w:hint="default" w:ascii="仿宋" w:hAnsi="仿宋" w:eastAsia="仿宋" w:cs="仿宋"/>
                <w:color w:val="auto"/>
                <w:kern w:val="0"/>
                <w:sz w:val="24"/>
                <w:szCs w:val="24"/>
                <w:lang w:val="en-US" w:eastAsia="zh-CN"/>
              </w:rPr>
              <w:t>黄埔、番禺、南沙区海岸线向海一侧200米水域范围。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3</w:t>
            </w:r>
          </w:p>
        </w:tc>
        <w:tc>
          <w:tcPr>
            <w:tcW w:w="6590" w:type="dxa"/>
            <w:vAlign w:val="center"/>
          </w:tcPr>
          <w:p>
            <w:pPr>
              <w:autoSpaceDE w:val="0"/>
              <w:autoSpaceDN w:val="0"/>
              <w:adjustRightInd w:val="0"/>
              <w:spacing w:line="360" w:lineRule="auto"/>
              <w:jc w:val="both"/>
              <w:rPr>
                <w:rFonts w:hint="default"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评价</w:t>
            </w:r>
            <w:r>
              <w:rPr>
                <w:rFonts w:hint="default" w:ascii="仿宋" w:hAnsi="仿宋" w:eastAsia="仿宋" w:cs="仿宋"/>
                <w:b/>
                <w:bCs/>
                <w:color w:val="auto"/>
                <w:kern w:val="0"/>
                <w:sz w:val="24"/>
                <w:szCs w:val="24"/>
                <w:lang w:val="en-US" w:eastAsia="zh-CN"/>
              </w:rPr>
              <w:t>范围</w:t>
            </w:r>
            <w:r>
              <w:rPr>
                <w:rFonts w:hint="eastAsia" w:ascii="仿宋" w:hAnsi="仿宋" w:eastAsia="仿宋" w:cs="仿宋"/>
                <w:b/>
                <w:bCs/>
                <w:color w:val="auto"/>
                <w:kern w:val="0"/>
                <w:sz w:val="24"/>
                <w:szCs w:val="24"/>
                <w:lang w:val="en-US" w:eastAsia="zh-CN"/>
              </w:rPr>
              <w:t>：</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评价范围主要针对广州市本级环卫一体化PPP项目(水域)保洁范围；全市各行政区河涌、湖泊、水库、水渠等水域；黄埔、番禺、南沙区近岸海域。</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具体是:</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w:t>
            </w:r>
            <w:r>
              <w:rPr>
                <w:rFonts w:hint="default" w:ascii="仿宋" w:hAnsi="仿宋" w:eastAsia="仿宋" w:cs="仿宋"/>
                <w:color w:val="auto"/>
                <w:kern w:val="0"/>
                <w:sz w:val="24"/>
                <w:szCs w:val="24"/>
                <w:lang w:val="en-US" w:eastAsia="zh-CN"/>
              </w:rPr>
              <w:t>市本级环卫一体化PPP项目(水域)保洁项目评价</w:t>
            </w:r>
            <w:r>
              <w:rPr>
                <w:rFonts w:hint="eastAsia" w:ascii="仿宋" w:hAnsi="仿宋" w:eastAsia="仿宋" w:cs="仿宋"/>
                <w:color w:val="auto"/>
                <w:kern w:val="0"/>
                <w:sz w:val="24"/>
                <w:szCs w:val="24"/>
                <w:lang w:val="en-US" w:eastAsia="zh-CN"/>
              </w:rPr>
              <w:t>：</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①流溪河水域:太平场水文站至流溪河口，保洁长度约52.76公里；</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②西河道广佛跨界断面考核水域：白坭河金溪涌口至洲头咀，保洁长度约21.4公里；</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③重点景观水域：洲头咀至东江北干流珠江出口，保洁长度约36.7公里；</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④后航道标准作业水域：洲头咀至洪圣沙以西，保洁长度约47.67公里。</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（2）</w:t>
            </w:r>
            <w:r>
              <w:rPr>
                <w:rFonts w:hint="default" w:ascii="仿宋" w:hAnsi="仿宋" w:eastAsia="仿宋" w:cs="仿宋"/>
                <w:color w:val="auto"/>
                <w:kern w:val="0"/>
                <w:sz w:val="24"/>
                <w:szCs w:val="24"/>
                <w:lang w:val="en-US" w:eastAsia="zh-CN"/>
              </w:rPr>
              <w:t>全市11个行政区河道、河涌、湖泊、水库、水渠等水域保洁质量考评</w:t>
            </w:r>
            <w:r>
              <w:rPr>
                <w:rFonts w:hint="eastAsia" w:ascii="仿宋" w:hAnsi="仿宋" w:eastAsia="仿宋" w:cs="仿宋"/>
                <w:color w:val="auto"/>
                <w:kern w:val="0"/>
                <w:sz w:val="24"/>
                <w:szCs w:val="24"/>
                <w:lang w:val="en-US" w:eastAsia="zh-CN"/>
              </w:rPr>
              <w:t>：</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根据《广州市水域市容环境卫生管理条例》要求,对广州市11个行政区域内的水域保洁质量进行评价。</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（3）</w:t>
            </w:r>
            <w:r>
              <w:rPr>
                <w:rFonts w:hint="default" w:ascii="仿宋" w:hAnsi="仿宋" w:eastAsia="仿宋" w:cs="仿宋"/>
                <w:color w:val="auto"/>
                <w:kern w:val="0"/>
                <w:sz w:val="24"/>
                <w:szCs w:val="24"/>
                <w:lang w:val="en-US" w:eastAsia="zh-CN"/>
              </w:rPr>
              <w:t>黄埔、番禺、南沙区近岸海域海漂垃圾清理、转运工作监督评价</w:t>
            </w:r>
            <w:r>
              <w:rPr>
                <w:rFonts w:hint="eastAsia" w:ascii="仿宋" w:hAnsi="仿宋" w:eastAsia="仿宋" w:cs="仿宋"/>
                <w:color w:val="auto"/>
                <w:kern w:val="0"/>
                <w:sz w:val="24"/>
                <w:szCs w:val="24"/>
                <w:lang w:val="en-US" w:eastAsia="zh-CN"/>
              </w:rPr>
              <w:t>：</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根据自然资源部门对广州海域的划定，广州海域范围北起广州港的黄埔港区西界，向西至洪奇沥与中山市交界，向南至伶仃洋进口浅滩以北，与东莞、深圳和中山市辖海域相邻，具体水域名称自北向南分别是珠江黄埔航道、墩头涌、虎门水道、莲花山水道、沙仔沥、小虎沥、下横沥水道、凫洲水道、蕉门水道、洪奇沥水道，海漂垃圾清理范围为以上海岸线向海一侧200米水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4</w:t>
            </w:r>
          </w:p>
        </w:tc>
        <w:tc>
          <w:tcPr>
            <w:tcW w:w="6590" w:type="dxa"/>
            <w:vAlign w:val="center"/>
          </w:tcPr>
          <w:p>
            <w:pPr>
              <w:autoSpaceDE w:val="0"/>
              <w:autoSpaceDN w:val="0"/>
              <w:adjustRightInd w:val="0"/>
              <w:spacing w:line="360" w:lineRule="auto"/>
              <w:jc w:val="both"/>
              <w:rPr>
                <w:rFonts w:hint="eastAsia"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评价内容：</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按照日监测、周反馈、月通报、年度考核等形式,对市本级环卫垃圾处理项目水域保洁、全市11个行政区河道、河涌、湖泊、水库、水渠等水域常态化监测评价以及黄埔、番禺、南沙区近岸海域范围以及海岸线向海一侧200米范围海漂垃圾清理、转运工作的巡查监督。</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中标人主要负责以下检查内容：</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（1）PPP项目(水域)保洁专业化检查。</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由中标人负责安排专门队伍,每月对评价对象进行专业化检查。检查内容包括但不限于以下内容:</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①每天对PPP项目(水域)保洁质量进行一次全覆盖检查,发现问题及时反馈；</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②监测评价水域保洁作业质量效果。每天是否落实巡回作业要求,是否达到PPP项目合同要求的作业质量标准；是否按规范要求开展作业;重大节日或突击性保洁任务完成情况等；</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③监测评价水域保洁船只出勤率和保洁人员出勤率。检查每天作业计划的落实情况,是否与实际作业时间和管理情况相符;是否做好船只、运输车辆运行轨迹及作业情况记录；</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④监测项目安全生产落实情况。船只、运输车辆及设备日常维护保养是否落实；船只、运输车辆及设备有无定期维护及维修,作业过程中的各项安全措施是否落实；船只、运输车辆驾驶人员及设备操作人员是否人证一致,安全培训制度是否落实等；</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⑤监测评价项目运营日常管理情况。有资质的专业管理、技术人员和水域保洁人员的配置是否落实；服务人员的权益保障是否落实。</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以上每月对评价对象各取样监测不少于15次,现场评价过程应全程录像记录,与绩效考核评分相关的所有事项均应做详实的书面记录。</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（2）全市11个行政区河道、河涌、湖泊、水库、水渠等水域保洁质量评价。</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①以国考、省考断面水域，197条黑臭水体为主，涵盖其他河涌、河道、湖泊、水库、水塘、水渠等，检查内容包括但不限于以下内容：</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1）水域漂浮垃圾清捞及河岸清扫保洁情况；</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2）水域市容环境卫生责任区制度落实情况；</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3）水面漂浮物拦截装置日常维护保养情况；</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4）重大活动及恶劣天气造成大量漂浮物时的水域保洁情况；</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5）车船是否完好整洁，保洁人员上岗是否穿着救生衣作业；</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6）水域有无漂浮动物尸体；</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7）涉水建设工程施工围蔽和环境卫生保障情况；是否存在向水域倾倒或排放粪便、建筑废弃物、淤泥、未进行沉淀处理的泥浆水等行为；</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8）水域市容环境卫生管理范围内是否存在经营餐饮业、设置农贸市场、家禽养殖场、直排厕所等情况；</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9）建筑废弃物水运船舶是否存在装卸时向水域漏撒等行为；涉嫌存在违法行为的船舶是否办理了《广州市建筑废弃物处置证》；</w:t>
            </w:r>
          </w:p>
          <w:p>
            <w:pPr>
              <w:autoSpaceDE w:val="0"/>
              <w:autoSpaceDN w:val="0"/>
              <w:adjustRightInd w:val="0"/>
              <w:spacing w:line="360" w:lineRule="auto"/>
              <w:ind w:firstLine="720" w:firstLineChars="3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10）是否存在其他违反《广州市水域市容环境卫生管理条例》的行为。</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②统一使用市“智慧环卫考评”APP进行检查。记录存在的问题,上传问题照片,并通过“智慧环卫”平台反馈当月考评结果。</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（3）开展海漂垃圾清理、转运工作的巡检和综合评价：</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①开展近岸海域范围以及海岸线向海一侧200米水域范围垃圾清理、转运工作的巡检，每月至少全覆盖检查1次；</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②统一使用市“智慧环卫考评”APP进行检查，记录存在的问题,上传问题照片。</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（4）舆情汇总。专人收集国家、省、市主要新闻媒体、自媒体等对各区、镇(街)关于水域保洁工作报道,12345政府服务热线关于水域保洁工作投诉信息,及时进行汇总、统计、分析,每月出具专题报告。</w:t>
            </w:r>
          </w:p>
          <w:p>
            <w:p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（5）智慧环卫平台综合管理。通过“智慧环卫”APP上报问题和进行考评。通过“智慧环卫”平台对问题进行跟踪督办。对各类相关信息和检查评价情况进行统计、分析,并形成相应评价服务报告。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5</w:t>
            </w:r>
          </w:p>
        </w:tc>
        <w:tc>
          <w:tcPr>
            <w:tcW w:w="6590" w:type="dxa"/>
            <w:vAlign w:val="center"/>
          </w:tcPr>
          <w:p>
            <w:pPr>
              <w:autoSpaceDE w:val="0"/>
              <w:autoSpaceDN w:val="0"/>
              <w:adjustRightInd w:val="0"/>
              <w:spacing w:line="360" w:lineRule="auto"/>
              <w:jc w:val="both"/>
              <w:rPr>
                <w:rFonts w:hint="default" w:ascii="仿宋" w:hAnsi="仿宋" w:eastAsia="仿宋" w:cs="仿宋"/>
                <w:b/>
                <w:bCs/>
                <w:color w:val="auto"/>
                <w:kern w:val="0"/>
                <w:sz w:val="24"/>
                <w:szCs w:val="24"/>
                <w:highlight w:val="none"/>
                <w:lang w:val="en-US" w:eastAsia="zh-CN"/>
              </w:rPr>
            </w:pPr>
            <w:r>
              <w:rPr>
                <w:rFonts w:hint="default" w:ascii="仿宋" w:hAnsi="仿宋" w:eastAsia="仿宋" w:cs="仿宋"/>
                <w:b/>
                <w:bCs/>
                <w:color w:val="auto"/>
                <w:kern w:val="0"/>
                <w:sz w:val="24"/>
                <w:szCs w:val="24"/>
                <w:highlight w:val="none"/>
                <w:lang w:val="en-US" w:eastAsia="zh-CN"/>
              </w:rPr>
              <w:t>中标人能力要求</w:t>
            </w:r>
            <w:r>
              <w:rPr>
                <w:rFonts w:hint="eastAsia" w:ascii="仿宋" w:hAnsi="仿宋" w:eastAsia="仿宋" w:cs="仿宋"/>
                <w:b/>
                <w:bCs/>
                <w:color w:val="auto"/>
                <w:kern w:val="0"/>
                <w:sz w:val="24"/>
                <w:szCs w:val="24"/>
                <w:highlight w:val="none"/>
                <w:lang w:val="en-US" w:eastAsia="zh-CN"/>
              </w:rPr>
              <w:t>：</w:t>
            </w:r>
          </w:p>
          <w:p>
            <w:pPr>
              <w:numPr>
                <w:ilvl w:val="0"/>
                <w:numId w:val="2"/>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需对广州市</w:t>
            </w:r>
            <w:r>
              <w:rPr>
                <w:rFonts w:hint="eastAsia" w:ascii="仿宋" w:hAnsi="仿宋" w:eastAsia="仿宋" w:cs="仿宋"/>
                <w:color w:val="auto"/>
                <w:kern w:val="0"/>
                <w:sz w:val="24"/>
                <w:szCs w:val="24"/>
                <w:lang w:val="en-US" w:eastAsia="zh-CN"/>
              </w:rPr>
              <w:t>水上环卫工作</w:t>
            </w:r>
            <w:r>
              <w:rPr>
                <w:rFonts w:hint="default" w:ascii="仿宋" w:hAnsi="仿宋" w:eastAsia="仿宋" w:cs="仿宋"/>
                <w:color w:val="auto"/>
                <w:kern w:val="0"/>
                <w:sz w:val="24"/>
                <w:szCs w:val="24"/>
                <w:lang w:val="en-US" w:eastAsia="zh-CN"/>
              </w:rPr>
              <w:t>基本情况有深入了解,且对国家、省、地方等环卫行业法规、标准有深入研究和实际应用经验,保证评价考核根据充分、严谨有效</w:t>
            </w:r>
            <w:r>
              <w:rPr>
                <w:rFonts w:hint="eastAsia" w:ascii="仿宋" w:hAnsi="仿宋" w:eastAsia="仿宋" w:cs="仿宋"/>
                <w:color w:val="auto"/>
                <w:kern w:val="0"/>
                <w:sz w:val="24"/>
                <w:szCs w:val="24"/>
                <w:lang w:val="en-US" w:eastAsia="zh-CN"/>
              </w:rPr>
              <w:t>。</w:t>
            </w:r>
          </w:p>
          <w:p>
            <w:pPr>
              <w:numPr>
                <w:ilvl w:val="0"/>
                <w:numId w:val="2"/>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为采购人提供评价服务的评价专业人员包括环卫保洁、生活垃圾处理等实践经验的评价(评估)从业人员。其中,评估师(评价师)应为通过相关机构或行业组织资格考试,符合本次评价内容的评估师(评价师)专业类别的从业人员。</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3</w:t>
            </w:r>
            <w:r>
              <w:rPr>
                <w:rFonts w:hint="default" w:ascii="仿宋" w:hAnsi="仿宋" w:eastAsia="仿宋" w:cs="仿宋"/>
                <w:color w:val="auto"/>
                <w:kern w:val="0"/>
                <w:sz w:val="24"/>
                <w:szCs w:val="24"/>
                <w:lang w:val="en-US" w:eastAsia="zh-CN"/>
              </w:rPr>
              <w:t>）具有开展相关评价工作的经验,并根据本项目的项目内容、要求及各项考核标准制定相关检查评价工作计划及进度安排。</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4</w:t>
            </w:r>
            <w:r>
              <w:rPr>
                <w:rFonts w:hint="default" w:ascii="仿宋" w:hAnsi="仿宋" w:eastAsia="仿宋" w:cs="仿宋"/>
                <w:color w:val="auto"/>
                <w:kern w:val="0"/>
                <w:sz w:val="24"/>
                <w:szCs w:val="24"/>
                <w:lang w:val="en-US" w:eastAsia="zh-CN"/>
              </w:rPr>
              <w:t>）具备良好经营实力及社会信誉,且具有统计、调查、分析、出具专业评价报告的实力。</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5</w:t>
            </w:r>
            <w:r>
              <w:rPr>
                <w:rFonts w:hint="default" w:ascii="仿宋" w:hAnsi="仿宋" w:eastAsia="仿宋" w:cs="仿宋"/>
                <w:color w:val="auto"/>
                <w:kern w:val="0"/>
                <w:sz w:val="24"/>
                <w:szCs w:val="24"/>
                <w:lang w:val="en-US" w:eastAsia="zh-CN"/>
              </w:rPr>
              <w:t>）要具备对本项目评价内容的专业化检查能力需要在投标文件中提供符合采购需求的相关设备的清单。</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6</w:t>
            </w:r>
            <w:r>
              <w:rPr>
                <w:rFonts w:hint="default" w:ascii="仿宋" w:hAnsi="仿宋" w:eastAsia="仿宋" w:cs="仿宋"/>
                <w:color w:val="auto"/>
                <w:kern w:val="0"/>
                <w:sz w:val="24"/>
                <w:szCs w:val="24"/>
                <w:lang w:val="en-US" w:eastAsia="zh-CN"/>
              </w:rPr>
              <w:t>）中标人应确保项目评价质量,按时完成评价工作。项目评价应当严格遵守国家的有关法律、法规、制度规定、有关行业规范及采购人的要求。评价机构对监管结果的真实性、完整性、可靠性负责。</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7</w:t>
            </w:r>
            <w:r>
              <w:rPr>
                <w:rFonts w:hint="default" w:ascii="仿宋" w:hAnsi="仿宋" w:eastAsia="仿宋" w:cs="仿宋"/>
                <w:color w:val="auto"/>
                <w:kern w:val="0"/>
                <w:sz w:val="24"/>
                <w:szCs w:val="24"/>
                <w:lang w:val="en-US" w:eastAsia="zh-CN"/>
              </w:rPr>
              <w:t>）应当自合同签订之日后第10日起,于每周三下午16点前,向采购人提送上一周的《广州市水域保洁质量第三方评价每周评价服务工作汇报》</w:t>
            </w:r>
            <w:r>
              <w:rPr>
                <w:rFonts w:hint="eastAsia" w:ascii="仿宋" w:hAnsi="仿宋" w:eastAsia="仿宋" w:cs="仿宋"/>
                <w:color w:val="auto"/>
                <w:kern w:val="0"/>
                <w:sz w:val="24"/>
                <w:szCs w:val="24"/>
                <w:lang w:val="en-US" w:eastAsia="zh-CN"/>
              </w:rPr>
              <w:t>；</w:t>
            </w:r>
            <w:r>
              <w:rPr>
                <w:rFonts w:hint="default" w:ascii="仿宋" w:hAnsi="仿宋" w:eastAsia="仿宋" w:cs="仿宋"/>
                <w:color w:val="auto"/>
                <w:kern w:val="0"/>
                <w:sz w:val="24"/>
                <w:szCs w:val="24"/>
                <w:lang w:val="en-US" w:eastAsia="zh-CN"/>
              </w:rPr>
              <w:t>于每月5日前,向采购人提送上一月的《广州市水域保洁质量第三方评价月度评价服务工作报告》</w:t>
            </w:r>
            <w:r>
              <w:rPr>
                <w:rFonts w:hint="eastAsia" w:ascii="仿宋" w:hAnsi="仿宋" w:eastAsia="仿宋" w:cs="仿宋"/>
                <w:color w:val="auto"/>
                <w:kern w:val="0"/>
                <w:sz w:val="24"/>
                <w:szCs w:val="24"/>
                <w:lang w:val="en-US" w:eastAsia="zh-CN"/>
              </w:rPr>
              <w:t>；</w:t>
            </w:r>
            <w:r>
              <w:rPr>
                <w:rFonts w:hint="default" w:ascii="仿宋" w:hAnsi="仿宋" w:eastAsia="仿宋" w:cs="仿宋"/>
                <w:color w:val="auto"/>
                <w:kern w:val="0"/>
                <w:sz w:val="24"/>
                <w:szCs w:val="24"/>
                <w:lang w:val="en-US" w:eastAsia="zh-CN"/>
              </w:rPr>
              <w:t>于每季度首月5日前,向采购人提送上一季度的《广州市水域保洁项目质量第三方评价季度评价服务讲评材料》</w:t>
            </w:r>
            <w:r>
              <w:rPr>
                <w:rFonts w:hint="eastAsia" w:ascii="仿宋" w:hAnsi="仿宋" w:eastAsia="仿宋" w:cs="仿宋"/>
                <w:color w:val="auto"/>
                <w:kern w:val="0"/>
                <w:sz w:val="24"/>
                <w:szCs w:val="24"/>
                <w:lang w:val="en-US" w:eastAsia="zh-CN"/>
              </w:rPr>
              <w:t>；</w:t>
            </w:r>
            <w:r>
              <w:rPr>
                <w:rFonts w:hint="default" w:ascii="仿宋" w:hAnsi="仿宋" w:eastAsia="仿宋" w:cs="仿宋"/>
                <w:color w:val="auto"/>
                <w:kern w:val="0"/>
                <w:sz w:val="24"/>
                <w:szCs w:val="24"/>
                <w:lang w:val="en-US" w:eastAsia="zh-CN"/>
              </w:rPr>
              <w:t>于每半年首月5日前,向采购人提送上一半年的《广州市水域保洁项目质量第三方评价半年度评价服务工作报告》</w:t>
            </w:r>
            <w:r>
              <w:rPr>
                <w:rFonts w:hint="eastAsia" w:ascii="仿宋" w:hAnsi="仿宋" w:eastAsia="仿宋" w:cs="仿宋"/>
                <w:color w:val="auto"/>
                <w:kern w:val="0"/>
                <w:sz w:val="24"/>
                <w:szCs w:val="24"/>
                <w:lang w:val="en-US" w:eastAsia="zh-CN"/>
              </w:rPr>
              <w:t>；</w:t>
            </w:r>
            <w:r>
              <w:rPr>
                <w:rFonts w:hint="default" w:ascii="仿宋" w:hAnsi="仿宋" w:eastAsia="仿宋" w:cs="仿宋"/>
                <w:color w:val="auto"/>
                <w:kern w:val="0"/>
                <w:sz w:val="24"/>
                <w:szCs w:val="24"/>
                <w:lang w:val="en-US" w:eastAsia="zh-CN"/>
              </w:rPr>
              <w:t>于每年度首月10日前,向采购人提送上一年度的《广州市水域保洁项目质量第三方评价年度评价服务工作报告》。</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8</w:t>
            </w:r>
            <w:r>
              <w:rPr>
                <w:rFonts w:hint="default" w:ascii="仿宋" w:hAnsi="仿宋" w:eastAsia="仿宋" w:cs="仿宋"/>
                <w:color w:val="auto"/>
                <w:kern w:val="0"/>
                <w:sz w:val="24"/>
                <w:szCs w:val="24"/>
                <w:lang w:val="en-US" w:eastAsia="zh-CN"/>
              </w:rPr>
              <w:t>）团队人员应根据相关评分体系对其负责评价内容进行评价考核,向采购人提出处置建议,必要时签发监管通知,做好相关记录,并进行量化考核,及时汇总考核情况。</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9</w:t>
            </w:r>
            <w:r>
              <w:rPr>
                <w:rFonts w:hint="default" w:ascii="仿宋" w:hAnsi="仿宋" w:eastAsia="仿宋" w:cs="仿宋"/>
                <w:color w:val="auto"/>
                <w:kern w:val="0"/>
                <w:sz w:val="24"/>
                <w:szCs w:val="24"/>
                <w:lang w:val="en-US" w:eastAsia="zh-CN"/>
              </w:rPr>
              <w:t>）团队人员应服从采购人监督,并接受考核,详见《广州市水域巡查考评办法》。</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10</w:t>
            </w:r>
            <w:r>
              <w:rPr>
                <w:rFonts w:hint="default" w:ascii="仿宋" w:hAnsi="仿宋" w:eastAsia="仿宋" w:cs="仿宋"/>
                <w:color w:val="auto"/>
                <w:kern w:val="0"/>
                <w:sz w:val="24"/>
                <w:szCs w:val="24"/>
                <w:lang w:val="en-US" w:eastAsia="zh-CN"/>
              </w:rPr>
              <w:t>）应结合广州市市本级环卫一体化项目作业实际情况,不断完善评价方案,展示评价成果,使广州市水上环卫作业质量评价水平在国内位于先进行列。</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11</w:t>
            </w:r>
            <w:r>
              <w:rPr>
                <w:rFonts w:hint="default" w:ascii="仿宋" w:hAnsi="仿宋" w:eastAsia="仿宋" w:cs="仿宋"/>
                <w:color w:val="auto"/>
                <w:kern w:val="0"/>
                <w:sz w:val="24"/>
                <w:szCs w:val="24"/>
                <w:lang w:val="en-US" w:eastAsia="zh-CN"/>
              </w:rPr>
              <w:t>）评价档案的保存期限不少于十五年,属于法定评价业务的,保存期限不少于三十年。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6</w:t>
            </w:r>
          </w:p>
        </w:tc>
        <w:tc>
          <w:tcPr>
            <w:tcW w:w="6590" w:type="dxa"/>
            <w:vAlign w:val="center"/>
          </w:tcPr>
          <w:p>
            <w:pPr>
              <w:autoSpaceDE w:val="0"/>
              <w:autoSpaceDN w:val="0"/>
              <w:adjustRightInd w:val="0"/>
              <w:spacing w:line="360" w:lineRule="auto"/>
              <w:jc w:val="both"/>
              <w:rPr>
                <w:rFonts w:hint="default" w:ascii="仿宋" w:hAnsi="仿宋" w:eastAsia="仿宋" w:cs="仿宋"/>
                <w:b/>
                <w:bCs/>
                <w:color w:val="auto"/>
                <w:kern w:val="0"/>
                <w:sz w:val="24"/>
                <w:szCs w:val="24"/>
                <w:lang w:val="en-US" w:eastAsia="zh-CN"/>
              </w:rPr>
            </w:pPr>
            <w:r>
              <w:rPr>
                <w:rFonts w:hint="default" w:ascii="仿宋" w:hAnsi="仿宋" w:eastAsia="仿宋" w:cs="仿宋"/>
                <w:b/>
                <w:bCs/>
                <w:color w:val="auto"/>
                <w:kern w:val="0"/>
                <w:sz w:val="24"/>
                <w:szCs w:val="24"/>
                <w:lang w:val="en-US" w:eastAsia="zh-CN"/>
              </w:rPr>
              <w:t>服务人员及设备配置</w:t>
            </w:r>
            <w:r>
              <w:rPr>
                <w:rFonts w:hint="eastAsia" w:ascii="仿宋" w:hAnsi="仿宋" w:eastAsia="仿宋" w:cs="仿宋"/>
                <w:b/>
                <w:bCs/>
                <w:color w:val="auto"/>
                <w:kern w:val="0"/>
                <w:sz w:val="24"/>
                <w:szCs w:val="24"/>
                <w:lang w:val="en-US" w:eastAsia="zh-CN"/>
              </w:rPr>
              <w:t>：</w:t>
            </w:r>
          </w:p>
          <w:p>
            <w:pPr>
              <w:numPr>
                <w:ilvl w:val="0"/>
                <w:numId w:val="3"/>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本服务项目</w:t>
            </w:r>
            <w:r>
              <w:rPr>
                <w:rFonts w:hint="eastAsia" w:ascii="仿宋" w:hAnsi="仿宋" w:eastAsia="仿宋" w:cs="仿宋"/>
                <w:color w:val="auto"/>
                <w:kern w:val="0"/>
                <w:sz w:val="24"/>
                <w:szCs w:val="24"/>
                <w:lang w:val="en-US" w:eastAsia="zh-CN"/>
              </w:rPr>
              <w:t>人员</w:t>
            </w:r>
            <w:r>
              <w:rPr>
                <w:rFonts w:hint="default" w:ascii="仿宋" w:hAnsi="仿宋" w:eastAsia="仿宋" w:cs="仿宋"/>
                <w:color w:val="auto"/>
                <w:kern w:val="0"/>
                <w:sz w:val="24"/>
                <w:szCs w:val="24"/>
                <w:lang w:val="en-US" w:eastAsia="zh-CN"/>
              </w:rPr>
              <w:t>配置应不少于40人。其中,应配置1名项目负责人,负责对本采购项目的具体实施和统筹,包括但不限于采购人安排的与本项目服务相关联的其他服务内容的安排。</w:t>
            </w:r>
          </w:p>
          <w:p>
            <w:pPr>
              <w:numPr>
                <w:ilvl w:val="0"/>
                <w:numId w:val="3"/>
              </w:numPr>
              <w:autoSpaceDE w:val="0"/>
              <w:autoSpaceDN w:val="0"/>
              <w:adjustRightInd w:val="0"/>
              <w:spacing w:line="360" w:lineRule="auto"/>
              <w:ind w:firstLine="482" w:firstLineChars="200"/>
              <w:jc w:val="both"/>
              <w:rPr>
                <w:rFonts w:hint="default"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具体要求：</w:t>
            </w:r>
          </w:p>
          <w:p>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①设置PPP水域保洁、全市水域作业质量检查考评、近岸海域海漂垃圾清理转运工作巡查3个专业小组并分别设置1名组长；</w:t>
            </w:r>
          </w:p>
          <w:p>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②根据巡查服务范围和内容设置3-8个巡查小组,每天巡查小组应不少于10批次参加巡查；</w:t>
            </w:r>
          </w:p>
          <w:p>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③每个巡查小组应配置车辆驾驶员1人、巡查员1人(驾驶员需持有效车辆驾驶证照)；</w:t>
            </w:r>
          </w:p>
          <w:p>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④设置系统维护及资料员2人,专门负责信息收集,数据处理,编制报告等；</w:t>
            </w:r>
          </w:p>
          <w:p>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⑤为保障本项目的高效及顺利进行,中标人应保持1名人员在采购人单位驻点办公,主要负责与采购人的对接、联络、资料整理汇总等,协助采购人开展相关工作；</w:t>
            </w:r>
          </w:p>
          <w:p>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⑥合同履行期间,中标人不得随意更换项目组人员,如需更换,须提前30天书面向采购人提出书面申请,经采购人同意,可更换为与投标文件相同或以上资历的服务人员。</w:t>
            </w:r>
          </w:p>
          <w:p>
            <w:pPr>
              <w:numPr>
                <w:ilvl w:val="0"/>
                <w:numId w:val="0"/>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（3）</w:t>
            </w:r>
            <w:r>
              <w:rPr>
                <w:rFonts w:hint="default" w:ascii="仿宋" w:hAnsi="仿宋" w:eastAsia="仿宋" w:cs="仿宋"/>
                <w:color w:val="auto"/>
                <w:kern w:val="0"/>
                <w:sz w:val="24"/>
                <w:szCs w:val="24"/>
                <w:lang w:val="en-US" w:eastAsia="zh-CN"/>
              </w:rPr>
              <w:t>中标人应与其拟派人员建立劳动关系,采购人与中标人的服务人员不存在任何劳动、劳务或雇佣关系。</w:t>
            </w:r>
          </w:p>
          <w:p>
            <w:pPr>
              <w:numPr>
                <w:ilvl w:val="0"/>
                <w:numId w:val="0"/>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（4）</w:t>
            </w:r>
            <w:r>
              <w:rPr>
                <w:rFonts w:hint="default" w:ascii="仿宋" w:hAnsi="仿宋" w:eastAsia="仿宋" w:cs="仿宋"/>
                <w:color w:val="auto"/>
                <w:kern w:val="0"/>
                <w:sz w:val="24"/>
                <w:szCs w:val="24"/>
                <w:lang w:val="en-US" w:eastAsia="zh-CN"/>
              </w:rPr>
              <w:t>中标人应按规定为本项目服务人员购买养老保险、医疗保险、失业保险、生育保险、工伤保险等,保证服务人员工资标准不低于广州市当年最低工资标准(不含加班费或其它补贴),应保证服务人员上班时间符合劳动法规定时间,超过时限由中标人按国家相关规定支付相应加班费。</w:t>
            </w:r>
          </w:p>
          <w:p>
            <w:pPr>
              <w:numPr>
                <w:ilvl w:val="0"/>
                <w:numId w:val="0"/>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（5）</w:t>
            </w:r>
            <w:r>
              <w:rPr>
                <w:rFonts w:hint="default" w:ascii="仿宋" w:hAnsi="仿宋" w:eastAsia="仿宋" w:cs="仿宋"/>
                <w:color w:val="auto"/>
                <w:kern w:val="0"/>
                <w:sz w:val="24"/>
                <w:szCs w:val="24"/>
                <w:lang w:val="en-US" w:eastAsia="zh-CN"/>
              </w:rPr>
              <w:t>车辆配置不少于10台(自有或租赁，需为新能源车)。在合同签订后30个工作日内正式投入到本项目的巡查服务工作,且购置或租赁的车辆需满足巡查工作需求,行车里程不得超过6万公里</w:t>
            </w:r>
            <w:r>
              <w:rPr>
                <w:rFonts w:hint="eastAsia" w:ascii="仿宋" w:hAnsi="仿宋" w:eastAsia="仿宋" w:cs="仿宋"/>
                <w:color w:val="auto"/>
                <w:kern w:val="0"/>
                <w:sz w:val="24"/>
                <w:szCs w:val="24"/>
                <w:lang w:val="en-US" w:eastAsia="zh-CN"/>
              </w:rPr>
              <w:t>；</w:t>
            </w:r>
            <w:r>
              <w:rPr>
                <w:rFonts w:hint="default" w:ascii="仿宋" w:hAnsi="仿宋" w:eastAsia="仿宋" w:cs="仿宋"/>
                <w:color w:val="auto"/>
                <w:kern w:val="0"/>
                <w:sz w:val="24"/>
                <w:szCs w:val="24"/>
                <w:lang w:val="en-US" w:eastAsia="zh-CN"/>
              </w:rPr>
              <w:t>车辆外观、标识须统一,每天出车不少于10台次(提供承诺</w:t>
            </w:r>
            <w:r>
              <w:rPr>
                <w:rFonts w:hint="eastAsia" w:ascii="仿宋" w:hAnsi="仿宋" w:eastAsia="仿宋" w:cs="仿宋"/>
                <w:color w:val="auto"/>
                <w:kern w:val="0"/>
                <w:sz w:val="24"/>
                <w:szCs w:val="24"/>
                <w:lang w:val="en-US" w:eastAsia="zh-CN"/>
              </w:rPr>
              <w:t>函，格式自拟</w:t>
            </w:r>
            <w:r>
              <w:rPr>
                <w:rFonts w:hint="default" w:ascii="仿宋" w:hAnsi="仿宋" w:eastAsia="仿宋" w:cs="仿宋"/>
                <w:color w:val="auto"/>
                <w:kern w:val="0"/>
                <w:sz w:val="24"/>
                <w:szCs w:val="24"/>
                <w:lang w:val="en-US" w:eastAsia="zh-CN"/>
              </w:rPr>
              <w:t>)。</w:t>
            </w:r>
          </w:p>
          <w:p>
            <w:pPr>
              <w:numPr>
                <w:ilvl w:val="0"/>
                <w:numId w:val="0"/>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（6）</w:t>
            </w:r>
            <w:r>
              <w:rPr>
                <w:rFonts w:hint="default" w:ascii="仿宋" w:hAnsi="仿宋" w:eastAsia="仿宋" w:cs="仿宋"/>
                <w:color w:val="auto"/>
                <w:kern w:val="0"/>
                <w:sz w:val="24"/>
                <w:szCs w:val="24"/>
                <w:lang w:val="en-US" w:eastAsia="zh-CN"/>
              </w:rPr>
              <w:t>本项目需配置无人机10架，主要用于无法近距离检查的水域进行低飞拍照。无人机的使用只限于本项目，不得挪为他用；无人机进行飞行作业时必须符合相关规定；操作人员应具有初级操作能力，并定期参加培训。</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val="en-US" w:eastAsia="zh-CN"/>
              </w:rPr>
              <w:t>7</w:t>
            </w:r>
            <w:r>
              <w:rPr>
                <w:rFonts w:hint="default" w:ascii="仿宋" w:hAnsi="仿宋" w:eastAsia="仿宋" w:cs="仿宋"/>
                <w:color w:val="auto"/>
                <w:kern w:val="0"/>
                <w:sz w:val="24"/>
                <w:szCs w:val="24"/>
                <w:lang w:val="en-US" w:eastAsia="zh-CN"/>
              </w:rPr>
              <w:t>）本项目需配置巡查船只1艘以上（自有或租赁），船只配备水面漂浮物识别检测平台，可以自动识别、检测、拍摄、上传数据等功能。主要用于市直管水域PPP项目和海漂垃圾清理、转运工作的巡检任务，所用船只必须符合海事部门要求的适航条件，驾驶员、水手应具有相应资质</w:t>
            </w:r>
            <w:r>
              <w:rPr>
                <w:rFonts w:hint="eastAsia" w:ascii="仿宋" w:hAnsi="仿宋" w:eastAsia="仿宋" w:cs="仿宋"/>
                <w:color w:val="auto"/>
                <w:kern w:val="0"/>
                <w:sz w:val="24"/>
                <w:szCs w:val="24"/>
                <w:lang w:val="en-US" w:eastAsia="zh-CN"/>
              </w:rPr>
              <w:t>。</w:t>
            </w:r>
            <w:r>
              <w:rPr>
                <w:rFonts w:hint="default" w:ascii="仿宋" w:hAnsi="仿宋" w:eastAsia="仿宋" w:cs="仿宋"/>
                <w:color w:val="auto"/>
                <w:kern w:val="0"/>
                <w:sz w:val="24"/>
                <w:szCs w:val="24"/>
                <w:lang w:val="en-US" w:eastAsia="zh-CN"/>
              </w:rPr>
              <w:t>航行时间每年不少于360小时。</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（8）</w:t>
            </w:r>
            <w:r>
              <w:rPr>
                <w:rFonts w:hint="default" w:ascii="仿宋" w:hAnsi="仿宋" w:eastAsia="仿宋" w:cs="仿宋"/>
                <w:color w:val="auto"/>
                <w:kern w:val="0"/>
                <w:sz w:val="24"/>
                <w:szCs w:val="24"/>
                <w:lang w:val="en-US" w:eastAsia="zh-CN"/>
              </w:rPr>
              <w:t>应配备与巡查开发平台系统相匹配的设备。如</w:t>
            </w:r>
            <w:r>
              <w:rPr>
                <w:rFonts w:hint="eastAsia" w:ascii="仿宋" w:hAnsi="仿宋" w:eastAsia="仿宋" w:cs="仿宋"/>
                <w:color w:val="auto"/>
                <w:kern w:val="0"/>
                <w:sz w:val="24"/>
                <w:szCs w:val="24"/>
                <w:lang w:val="en-US" w:eastAsia="zh-CN"/>
              </w:rPr>
              <w:t>：</w:t>
            </w:r>
            <w:r>
              <w:rPr>
                <w:rFonts w:hint="default" w:ascii="仿宋" w:hAnsi="仿宋" w:eastAsia="仿宋" w:cs="仿宋"/>
                <w:color w:val="auto"/>
                <w:kern w:val="0"/>
                <w:sz w:val="24"/>
                <w:szCs w:val="24"/>
                <w:lang w:val="en-US" w:eastAsia="zh-CN"/>
              </w:rPr>
              <w:t>手机、平板等。</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（9）</w:t>
            </w:r>
            <w:r>
              <w:rPr>
                <w:rFonts w:hint="default" w:ascii="仿宋" w:hAnsi="仿宋" w:eastAsia="仿宋" w:cs="仿宋"/>
                <w:color w:val="auto"/>
                <w:kern w:val="0"/>
                <w:sz w:val="24"/>
                <w:szCs w:val="24"/>
                <w:lang w:val="en-US" w:eastAsia="zh-CN"/>
              </w:rPr>
              <w:t>提供不少于30人的办公场地(可租赁)和日常办公的办公设备。</w:t>
            </w:r>
          </w:p>
          <w:p>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（10）</w:t>
            </w:r>
            <w:r>
              <w:rPr>
                <w:rFonts w:hint="default" w:ascii="仿宋" w:hAnsi="仿宋" w:eastAsia="仿宋" w:cs="仿宋"/>
                <w:color w:val="auto"/>
                <w:kern w:val="0"/>
                <w:sz w:val="24"/>
                <w:szCs w:val="24"/>
                <w:lang w:val="en-US" w:eastAsia="zh-CN"/>
              </w:rPr>
              <w:t>具备智能化的数据管理系统匹配现有巡查APP。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pPr>
              <w:autoSpaceDE w:val="0"/>
              <w:autoSpaceDN w:val="0"/>
              <w:adjustRightInd w:val="0"/>
              <w:spacing w:line="360" w:lineRule="auto"/>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7</w:t>
            </w:r>
          </w:p>
        </w:tc>
        <w:tc>
          <w:tcPr>
            <w:tcW w:w="6590" w:type="dxa"/>
            <w:vAlign w:val="center"/>
          </w:tcPr>
          <w:p>
            <w:pPr>
              <w:autoSpaceDE w:val="0"/>
              <w:autoSpaceDN w:val="0"/>
              <w:adjustRightInd w:val="0"/>
              <w:spacing w:line="360" w:lineRule="auto"/>
              <w:jc w:val="both"/>
              <w:rPr>
                <w:rFonts w:hint="eastAsia"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服务成果提交：</w:t>
            </w:r>
          </w:p>
          <w:p>
            <w:pPr>
              <w:autoSpaceDE w:val="0"/>
              <w:autoSpaceDN w:val="0"/>
              <w:adjustRightInd w:val="0"/>
              <w:spacing w:line="360" w:lineRule="auto"/>
              <w:ind w:firstLine="482" w:firstLineChars="200"/>
              <w:jc w:val="both"/>
              <w:rPr>
                <w:rFonts w:hint="default"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工作成果应包括（不限于）以下内容:</w:t>
            </w:r>
          </w:p>
          <w:p>
            <w:pPr>
              <w:numPr>
                <w:ilvl w:val="0"/>
                <w:numId w:val="4"/>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《广州市水域保洁质量第三方评价每周评价服务工作汇报》</w:t>
            </w:r>
            <w:r>
              <w:rPr>
                <w:rFonts w:hint="eastAsia" w:ascii="仿宋" w:hAnsi="仿宋" w:eastAsia="仿宋" w:cs="仿宋"/>
                <w:color w:val="auto"/>
                <w:kern w:val="0"/>
                <w:sz w:val="24"/>
                <w:szCs w:val="24"/>
                <w:lang w:val="en-US" w:eastAsia="zh-CN"/>
              </w:rPr>
              <w:t>；</w:t>
            </w:r>
          </w:p>
          <w:p>
            <w:pPr>
              <w:numPr>
                <w:ilvl w:val="0"/>
                <w:numId w:val="4"/>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《广州市水域保洁质量第三方评价月度评价服务工作报告》</w:t>
            </w:r>
            <w:r>
              <w:rPr>
                <w:rFonts w:hint="eastAsia" w:ascii="仿宋" w:hAnsi="仿宋" w:eastAsia="仿宋" w:cs="仿宋"/>
                <w:color w:val="auto"/>
                <w:kern w:val="0"/>
                <w:sz w:val="24"/>
                <w:szCs w:val="24"/>
                <w:lang w:val="en-US" w:eastAsia="zh-CN"/>
              </w:rPr>
              <w:t>；</w:t>
            </w:r>
          </w:p>
          <w:p>
            <w:pPr>
              <w:numPr>
                <w:ilvl w:val="0"/>
                <w:numId w:val="4"/>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《广州市水域保洁项目质量第三方评价季度评价服务讲评材料》</w:t>
            </w:r>
            <w:r>
              <w:rPr>
                <w:rFonts w:hint="eastAsia" w:ascii="仿宋" w:hAnsi="仿宋" w:eastAsia="仿宋" w:cs="仿宋"/>
                <w:color w:val="auto"/>
                <w:kern w:val="0"/>
                <w:sz w:val="24"/>
                <w:szCs w:val="24"/>
                <w:lang w:val="en-US" w:eastAsia="zh-CN"/>
              </w:rPr>
              <w:t>；</w:t>
            </w:r>
          </w:p>
          <w:p>
            <w:pPr>
              <w:numPr>
                <w:ilvl w:val="0"/>
                <w:numId w:val="4"/>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《广州市水域保洁项目质量第三方评价半年度评价服务工作报告》</w:t>
            </w:r>
            <w:r>
              <w:rPr>
                <w:rFonts w:hint="eastAsia" w:ascii="仿宋" w:hAnsi="仿宋" w:eastAsia="仿宋" w:cs="仿宋"/>
                <w:color w:val="auto"/>
                <w:kern w:val="0"/>
                <w:sz w:val="24"/>
                <w:szCs w:val="24"/>
                <w:lang w:val="en-US" w:eastAsia="zh-CN"/>
              </w:rPr>
              <w:t>；</w:t>
            </w:r>
          </w:p>
          <w:p>
            <w:pPr>
              <w:numPr>
                <w:ilvl w:val="0"/>
                <w:numId w:val="4"/>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《广州市水域保洁项目质量第三方评价年度评价服务工作报告》</w:t>
            </w:r>
            <w:r>
              <w:rPr>
                <w:rFonts w:hint="eastAsia" w:ascii="仿宋" w:hAnsi="仿宋" w:eastAsia="仿宋" w:cs="仿宋"/>
                <w:color w:val="auto"/>
                <w:kern w:val="0"/>
                <w:sz w:val="24"/>
                <w:szCs w:val="24"/>
                <w:lang w:val="en-US" w:eastAsia="zh-CN"/>
              </w:rPr>
              <w:t>；</w:t>
            </w:r>
          </w:p>
          <w:p>
            <w:pPr>
              <w:numPr>
                <w:ilvl w:val="0"/>
                <w:numId w:val="4"/>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采购人要求提供的其他工作成果报告。</w:t>
            </w:r>
          </w:p>
        </w:tc>
      </w:tr>
    </w:tbl>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02B113"/>
    <w:multiLevelType w:val="singleLevel"/>
    <w:tmpl w:val="8A02B113"/>
    <w:lvl w:ilvl="0" w:tentative="0">
      <w:start w:val="1"/>
      <w:numFmt w:val="decimal"/>
      <w:suff w:val="nothing"/>
      <w:lvlText w:val="（%1）"/>
      <w:lvlJc w:val="left"/>
    </w:lvl>
  </w:abstractNum>
  <w:abstractNum w:abstractNumId="1">
    <w:nsid w:val="D51C3B88"/>
    <w:multiLevelType w:val="singleLevel"/>
    <w:tmpl w:val="D51C3B88"/>
    <w:lvl w:ilvl="0" w:tentative="0">
      <w:start w:val="2"/>
      <w:numFmt w:val="decimal"/>
      <w:suff w:val="nothing"/>
      <w:lvlText w:val="（%1）"/>
      <w:lvlJc w:val="left"/>
    </w:lvl>
  </w:abstractNum>
  <w:abstractNum w:abstractNumId="2">
    <w:nsid w:val="E78CFDD6"/>
    <w:multiLevelType w:val="singleLevel"/>
    <w:tmpl w:val="E78CFDD6"/>
    <w:lvl w:ilvl="0" w:tentative="0">
      <w:start w:val="1"/>
      <w:numFmt w:val="decimal"/>
      <w:suff w:val="nothing"/>
      <w:lvlText w:val="（%1）"/>
      <w:lvlJc w:val="left"/>
    </w:lvl>
  </w:abstractNum>
  <w:abstractNum w:abstractNumId="3">
    <w:nsid w:val="648FD3A0"/>
    <w:multiLevelType w:val="singleLevel"/>
    <w:tmpl w:val="648FD3A0"/>
    <w:lvl w:ilvl="0" w:tentative="0">
      <w:start w:val="1"/>
      <w:numFmt w:val="decimal"/>
      <w:suff w:val="nothing"/>
      <w:lvlText w:val="（%1）"/>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hMzQ2NDU2MTEwZjhkMGExOTU1MzU5NDZkYjdhNTMifQ=="/>
  </w:docVars>
  <w:rsids>
    <w:rsidRoot w:val="27930A4D"/>
    <w:rsid w:val="15B07619"/>
    <w:rsid w:val="21A21C21"/>
    <w:rsid w:val="22E45940"/>
    <w:rsid w:val="27930A4D"/>
    <w:rsid w:val="2CB72413"/>
    <w:rsid w:val="300E12F2"/>
    <w:rsid w:val="55AB44C9"/>
    <w:rsid w:val="77E874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表格文字"/>
    <w:basedOn w:val="3"/>
    <w:qFormat/>
    <w:uiPriority w:val="0"/>
    <w:pPr>
      <w:spacing w:before="25" w:after="25"/>
      <w:jc w:val="left"/>
    </w:pPr>
    <w:rPr>
      <w:bCs/>
      <w:spacing w:val="10"/>
      <w:kern w:val="0"/>
      <w:sz w:val="24"/>
    </w:rPr>
  </w:style>
  <w:style w:type="paragraph" w:customStyle="1" w:styleId="3">
    <w:name w:val="正文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6">
    <w:name w:val="annotation text"/>
    <w:basedOn w:val="1"/>
    <w:unhideWhenUsed/>
    <w:qFormat/>
    <w:uiPriority w:val="0"/>
    <w:pPr>
      <w:jc w:val="left"/>
    </w:p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0"/>
    <w:pPr>
      <w:adjustRightInd w:val="0"/>
      <w:spacing w:line="360" w:lineRule="atLeast"/>
      <w:ind w:firstLine="420" w:firstLineChars="200"/>
    </w:pPr>
    <w:rPr>
      <w:rFonts w:ascii="Times New Roman" w:hAnsi="Times New Roman"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5628</Words>
  <Characters>5782</Characters>
  <Lines>0</Lines>
  <Paragraphs>0</Paragraphs>
  <TotalTime>3</TotalTime>
  <ScaleCrop>false</ScaleCrop>
  <LinksUpToDate>false</LinksUpToDate>
  <CharactersWithSpaces>5782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2023-05-18T10:00:00Z</dcterms:created>
  <dc:creator>国晟招标</dc:creator>
  <cp:lastModifiedBy>国晟招标</cp:lastModifiedBy>
  <dcterms:modified xsi:type="dcterms:W3CDTF">2023-05-19T09:22:05Z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B27E9696824848F4B26905BC8C1C6F19_13</vt:lpwstr>
  </property>
</Properties>
</file>