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center"/>
        <w:rPr>
          <w:rFonts w:hint="eastAsia" w:ascii="仿宋" w:hAnsi="仿宋" w:eastAsia="仿宋" w:cs="仿宋"/>
          <w:color w:val="auto"/>
        </w:rPr>
      </w:pPr>
      <w:r>
        <w:rPr>
          <w:rFonts w:hint="eastAsia" w:ascii="黑体" w:hAnsi="黑体" w:eastAsia="黑体" w:cs="黑体"/>
          <w:color w:val="auto"/>
          <w:lang w:val="en-US" w:eastAsia="zh-CN"/>
        </w:rPr>
        <w:t>采购</w:t>
      </w:r>
      <w:r>
        <w:rPr>
          <w:rFonts w:hint="eastAsia" w:ascii="黑体" w:hAnsi="黑体" w:eastAsia="黑体" w:cs="黑体"/>
          <w:color w:val="auto"/>
        </w:rPr>
        <w:t>需求</w:t>
      </w:r>
    </w:p>
    <w:p>
      <w:pPr>
        <w:numPr>
          <w:ilvl w:val="0"/>
          <w:numId w:val="0"/>
        </w:numPr>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rPr>
        <w:t>项目概况</w:t>
      </w:r>
    </w:p>
    <w:p>
      <w:pPr>
        <w:pStyle w:val="2"/>
        <w:spacing w:line="360" w:lineRule="auto"/>
        <w:ind w:firstLine="520" w:firstLineChars="200"/>
        <w:rPr>
          <w:rFonts w:hint="eastAsia" w:ascii="仿宋" w:hAnsi="仿宋" w:eastAsia="仿宋" w:cs="仿宋"/>
          <w:color w:val="auto"/>
        </w:rPr>
      </w:pPr>
      <w:r>
        <w:rPr>
          <w:rFonts w:hint="eastAsia" w:ascii="仿宋" w:hAnsi="仿宋" w:eastAsia="仿宋" w:cs="仿宋"/>
          <w:color w:val="auto"/>
        </w:rPr>
        <w:t>据统计，目前我市每天产生生活垃圾约2.2</w:t>
      </w:r>
      <w:r>
        <w:rPr>
          <w:rFonts w:hint="eastAsia" w:ascii="仿宋" w:hAnsi="仿宋" w:eastAsia="仿宋" w:cs="仿宋"/>
          <w:color w:val="auto"/>
          <w:lang w:val="en-US" w:eastAsia="zh-CN"/>
        </w:rPr>
        <w:t>8</w:t>
      </w:r>
      <w:r>
        <w:rPr>
          <w:rFonts w:hint="eastAsia" w:ascii="仿宋" w:hAnsi="仿宋" w:eastAsia="仿宋" w:cs="仿宋"/>
          <w:color w:val="auto"/>
        </w:rPr>
        <w:t>万吨，其中经全市</w:t>
      </w:r>
      <w:r>
        <w:rPr>
          <w:rFonts w:hint="eastAsia" w:ascii="仿宋" w:hAnsi="仿宋" w:eastAsia="仿宋" w:cs="仿宋"/>
          <w:color w:val="auto"/>
          <w:lang w:val="en-US" w:eastAsia="zh-CN"/>
        </w:rPr>
        <w:t>351</w:t>
      </w:r>
      <w:r>
        <w:rPr>
          <w:rFonts w:hint="eastAsia" w:ascii="仿宋" w:hAnsi="仿宋" w:eastAsia="仿宋" w:cs="仿宋"/>
          <w:color w:val="auto"/>
        </w:rPr>
        <w:t>座生活垃圾压缩站日均转运生活垃圾量约</w:t>
      </w:r>
      <w:r>
        <w:rPr>
          <w:rFonts w:hint="eastAsia" w:ascii="仿宋" w:hAnsi="仿宋" w:eastAsia="仿宋" w:cs="仿宋"/>
          <w:color w:val="auto"/>
          <w:lang w:val="en-US" w:eastAsia="zh-CN"/>
        </w:rPr>
        <w:t>1.61</w:t>
      </w:r>
      <w:r>
        <w:rPr>
          <w:rFonts w:hint="eastAsia" w:ascii="仿宋" w:hAnsi="仿宋" w:eastAsia="仿宋" w:cs="仿宋"/>
          <w:color w:val="auto"/>
        </w:rPr>
        <w:t>万吨，占全市日产生活垃圾量的7</w:t>
      </w:r>
      <w:r>
        <w:rPr>
          <w:rFonts w:hint="eastAsia" w:ascii="仿宋" w:hAnsi="仿宋" w:eastAsia="仿宋" w:cs="仿宋"/>
          <w:color w:val="auto"/>
          <w:lang w:val="en-US" w:eastAsia="zh-CN"/>
        </w:rPr>
        <w:t>0</w:t>
      </w:r>
      <w:r>
        <w:rPr>
          <w:rFonts w:hint="eastAsia" w:ascii="仿宋" w:hAnsi="仿宋" w:eastAsia="仿宋" w:cs="仿宋"/>
          <w:color w:val="auto"/>
        </w:rPr>
        <w:t>.</w:t>
      </w:r>
      <w:r>
        <w:rPr>
          <w:rFonts w:hint="eastAsia" w:ascii="仿宋" w:hAnsi="仿宋" w:eastAsia="仿宋" w:cs="仿宋"/>
          <w:color w:val="auto"/>
          <w:lang w:val="en-US" w:eastAsia="zh-CN"/>
        </w:rPr>
        <w:t>6</w:t>
      </w:r>
      <w:r>
        <w:rPr>
          <w:rFonts w:hint="eastAsia" w:ascii="仿宋" w:hAnsi="仿宋" w:eastAsia="仿宋" w:cs="仿宋"/>
          <w:color w:val="auto"/>
        </w:rPr>
        <w:t>%。现将通过采取</w:t>
      </w:r>
      <w:r>
        <w:rPr>
          <w:rFonts w:hint="eastAsia" w:ascii="仿宋" w:hAnsi="仿宋" w:eastAsia="仿宋" w:cs="仿宋"/>
          <w:color w:val="auto"/>
          <w:lang w:val="en-US" w:eastAsia="zh-CN"/>
        </w:rPr>
        <w:t>公开招标</w:t>
      </w:r>
      <w:r>
        <w:rPr>
          <w:rFonts w:hint="eastAsia" w:ascii="仿宋" w:hAnsi="仿宋" w:eastAsia="仿宋" w:cs="仿宋"/>
          <w:color w:val="auto"/>
        </w:rPr>
        <w:t>方式委托专业单位协助我局对全市11个行政区的</w:t>
      </w:r>
      <w:r>
        <w:rPr>
          <w:rFonts w:hint="eastAsia" w:ascii="仿宋" w:hAnsi="仿宋" w:eastAsia="仿宋" w:cs="仿宋"/>
          <w:color w:val="auto"/>
          <w:lang w:val="en-US" w:eastAsia="zh-CN"/>
        </w:rPr>
        <w:t>351</w:t>
      </w:r>
      <w:r>
        <w:rPr>
          <w:rFonts w:hint="eastAsia" w:ascii="仿宋" w:hAnsi="仿宋" w:eastAsia="仿宋" w:cs="仿宋"/>
          <w:color w:val="auto"/>
        </w:rPr>
        <w:t>座生活垃圾压缩站进行机械设备技术检查，进一步提高我市生活垃圾压缩站规范作业管理水平。</w:t>
      </w:r>
    </w:p>
    <w:p>
      <w:pPr>
        <w:numPr>
          <w:ilvl w:val="0"/>
          <w:numId w:val="1"/>
        </w:numPr>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t>采购项目内容</w:t>
      </w:r>
    </w:p>
    <w:p>
      <w:pPr>
        <w:numPr>
          <w:ilvl w:val="0"/>
          <w:numId w:val="0"/>
        </w:num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项目依据</w:t>
      </w:r>
      <w:r>
        <w:rPr>
          <w:rFonts w:hint="eastAsia" w:ascii="仿宋" w:hAnsi="仿宋" w:eastAsia="仿宋" w:cs="仿宋"/>
          <w:color w:val="auto"/>
          <w:sz w:val="24"/>
          <w:szCs w:val="24"/>
          <w:lang w:eastAsia="zh-CN"/>
        </w:rPr>
        <w:t>：</w:t>
      </w:r>
    </w:p>
    <w:p>
      <w:pPr>
        <w:numPr>
          <w:ilvl w:val="0"/>
          <w:numId w:val="0"/>
        </w:numPr>
        <w:spacing w:line="360" w:lineRule="auto"/>
        <w:ind w:left="239" w:leftChars="114"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《广州市城市管理专用作业车辆和设备管理办法》（穗城管规字〔2018〕7号）；（附件1）</w:t>
      </w:r>
    </w:p>
    <w:p>
      <w:pPr>
        <w:numPr>
          <w:ilvl w:val="0"/>
          <w:numId w:val="0"/>
        </w:numPr>
        <w:spacing w:line="360" w:lineRule="auto"/>
        <w:ind w:left="239" w:leftChars="114"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《广州市城市管理和综合执法局关于开展生活垃圾压缩站日常巡查督导工作的通知》；（附件2）</w:t>
      </w:r>
    </w:p>
    <w:p>
      <w:pPr>
        <w:numPr>
          <w:ilvl w:val="0"/>
          <w:numId w:val="0"/>
        </w:numPr>
        <w:spacing w:line="360" w:lineRule="auto"/>
        <w:ind w:firstLine="720" w:firstLineChars="3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《广州市环卫精细化作业和管理指引》。（附件3）</w:t>
      </w:r>
    </w:p>
    <w:p>
      <w:pPr>
        <w:numPr>
          <w:ilvl w:val="0"/>
          <w:numId w:val="0"/>
        </w:num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对象范围</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广州市11个行政区的生活垃圾压缩（中转）站</w:t>
      </w:r>
    </w:p>
    <w:p>
      <w:pPr>
        <w:numPr>
          <w:ilvl w:val="0"/>
          <w:numId w:val="0"/>
        </w:numPr>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服务期</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服务期限3年。</w:t>
      </w:r>
    </w:p>
    <w:p>
      <w:pPr>
        <w:numPr>
          <w:ilvl w:val="0"/>
          <w:numId w:val="0"/>
        </w:num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服务内容</w:t>
      </w:r>
      <w:r>
        <w:rPr>
          <w:rFonts w:hint="eastAsia" w:ascii="仿宋" w:hAnsi="仿宋" w:eastAsia="仿宋" w:cs="仿宋"/>
          <w:color w:val="auto"/>
          <w:sz w:val="24"/>
          <w:szCs w:val="24"/>
          <w:lang w:eastAsia="zh-CN"/>
        </w:rPr>
        <w:t>：</w:t>
      </w:r>
    </w:p>
    <w:p>
      <w:pPr>
        <w:numPr>
          <w:ilvl w:val="0"/>
          <w:numId w:val="0"/>
        </w:numPr>
        <w:spacing w:line="360" w:lineRule="auto"/>
        <w:ind w:left="239" w:leftChars="114"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按照《广州市城市管理专用作业车辆和设备管理办法》（穗城管规字〔2018〕7号）和《广州市城市管理和综合执法局关于开展生活垃圾压缩站日常巡查督导工作的通知》的规定，对全市11个行政区的生活垃圾压缩站进行日常巡查督导工作（目前，广州市生活垃圾压缩站正常在用3</w:t>
      </w:r>
      <w:r>
        <w:rPr>
          <w:rFonts w:hint="eastAsia" w:ascii="仿宋" w:hAnsi="仿宋" w:eastAsia="仿宋" w:cs="仿宋"/>
          <w:color w:val="auto"/>
          <w:sz w:val="24"/>
          <w:szCs w:val="24"/>
          <w:lang w:val="en-US" w:eastAsia="zh-CN"/>
        </w:rPr>
        <w:t>51</w:t>
      </w:r>
      <w:r>
        <w:rPr>
          <w:rFonts w:hint="eastAsia" w:ascii="仿宋" w:hAnsi="仿宋" w:eastAsia="仿宋" w:cs="仿宋"/>
          <w:color w:val="auto"/>
          <w:sz w:val="24"/>
          <w:szCs w:val="24"/>
        </w:rPr>
        <w:t>座）。</w:t>
      </w:r>
    </w:p>
    <w:p>
      <w:pPr>
        <w:numPr>
          <w:ilvl w:val="0"/>
          <w:numId w:val="0"/>
        </w:numPr>
        <w:spacing w:line="360" w:lineRule="auto"/>
        <w:ind w:left="239" w:leftChars="114"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）检查频次为每半月全覆盖检查。</w:t>
      </w:r>
      <w:r>
        <w:rPr>
          <w:rFonts w:hint="eastAsia" w:ascii="仿宋" w:hAnsi="仿宋" w:eastAsia="仿宋" w:cs="仿宋"/>
          <w:color w:val="auto"/>
          <w:sz w:val="24"/>
          <w:szCs w:val="24"/>
        </w:rPr>
        <w:t>由</w:t>
      </w:r>
      <w:r>
        <w:rPr>
          <w:rFonts w:hint="eastAsia" w:ascii="仿宋" w:hAnsi="仿宋" w:eastAsia="仿宋" w:cs="仿宋"/>
          <w:color w:val="auto"/>
          <w:sz w:val="24"/>
          <w:szCs w:val="24"/>
          <w:lang w:eastAsia="zh-CN"/>
        </w:rPr>
        <w:t>中标人</w:t>
      </w:r>
      <w:r>
        <w:rPr>
          <w:rFonts w:hint="eastAsia" w:ascii="仿宋" w:hAnsi="仿宋" w:eastAsia="仿宋" w:cs="仿宋"/>
          <w:color w:val="auto"/>
          <w:sz w:val="24"/>
          <w:szCs w:val="24"/>
        </w:rPr>
        <w:t>组织检查人员在每</w:t>
      </w:r>
      <w:r>
        <w:rPr>
          <w:rFonts w:hint="eastAsia" w:ascii="仿宋" w:hAnsi="仿宋" w:eastAsia="仿宋" w:cs="仿宋"/>
          <w:color w:val="auto"/>
          <w:sz w:val="24"/>
          <w:szCs w:val="24"/>
          <w:lang w:eastAsia="zh-CN"/>
        </w:rPr>
        <w:t>半月</w:t>
      </w:r>
      <w:r>
        <w:rPr>
          <w:rFonts w:hint="eastAsia" w:ascii="仿宋" w:hAnsi="仿宋" w:eastAsia="仿宋" w:cs="仿宋"/>
          <w:color w:val="auto"/>
          <w:sz w:val="24"/>
          <w:szCs w:val="24"/>
        </w:rPr>
        <w:t>根据</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压缩站规范管理相关要求</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对照</w:t>
      </w:r>
      <w:r>
        <w:rPr>
          <w:rFonts w:hint="eastAsia" w:ascii="仿宋" w:hAnsi="仿宋" w:eastAsia="仿宋" w:cs="仿宋"/>
          <w:color w:val="auto"/>
          <w:sz w:val="24"/>
          <w:szCs w:val="24"/>
          <w:lang w:eastAsia="zh-CN"/>
        </w:rPr>
        <w:t>“垃圾压缩站检查表”</w:t>
      </w:r>
      <w:r>
        <w:rPr>
          <w:rFonts w:hint="eastAsia" w:ascii="仿宋" w:hAnsi="仿宋" w:eastAsia="仿宋" w:cs="仿宋"/>
          <w:color w:val="auto"/>
          <w:sz w:val="24"/>
          <w:szCs w:val="24"/>
        </w:rPr>
        <w:t>对全市压缩站点进行一次全覆盖检查。</w:t>
      </w:r>
    </w:p>
    <w:p>
      <w:pPr>
        <w:numPr>
          <w:ilvl w:val="0"/>
          <w:numId w:val="0"/>
        </w:numPr>
        <w:spacing w:line="360" w:lineRule="auto"/>
        <w:ind w:left="239" w:leftChars="114"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中标人每天通过市城市管理综合执法局“智慧环卫”系统将巡查督导发现的问题反馈给垃圾压缩站属地管理部门，督促问题整改。每周一将上周生活垃圾压缩站日常巡查督导发现的问题提交给采购人，每月初将上月还未整改的问题汇总提交给采购人。每月、每季度对检查情况进行分析总结，分别将生活垃圾压缩站月度检查情况、季度汇总情况以“月通报、季总结”的形式提交给采购人。项目结束后5个工作日内提供整个项目期内生活垃圾压缩站日常巡查督导工作情况的总结报告。</w:t>
      </w:r>
    </w:p>
    <w:p>
      <w:pPr>
        <w:numPr>
          <w:ilvl w:val="0"/>
          <w:numId w:val="0"/>
        </w:numPr>
        <w:spacing w:line="360" w:lineRule="auto"/>
        <w:jc w:val="left"/>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三、采购项目服务内容</w:t>
      </w:r>
    </w:p>
    <w:p>
      <w:pPr>
        <w:numPr>
          <w:ilvl w:val="0"/>
          <w:numId w:val="0"/>
        </w:numPr>
        <w:spacing w:line="360" w:lineRule="auto"/>
        <w:ind w:left="239" w:leftChars="114" w:firstLine="482" w:firstLineChars="200"/>
        <w:jc w:val="both"/>
        <w:rPr>
          <w:rFonts w:hint="eastAsia" w:ascii="仿宋" w:hAnsi="仿宋" w:eastAsia="仿宋" w:cs="仿宋"/>
          <w:b/>
          <w:bCs/>
          <w:color w:val="auto"/>
          <w:sz w:val="24"/>
          <w:szCs w:val="24"/>
          <w:lang w:eastAsia="zh-CN"/>
        </w:rPr>
      </w:pPr>
      <w:r>
        <w:rPr>
          <w:rFonts w:hint="eastAsia" w:ascii="仿宋" w:hAnsi="仿宋" w:eastAsia="仿宋" w:cs="仿宋"/>
          <w:b/>
          <w:bCs/>
          <w:color w:val="auto"/>
          <w:sz w:val="24"/>
          <w:szCs w:val="24"/>
          <w:lang w:eastAsia="zh-CN"/>
        </w:rPr>
        <w:t>（</w:t>
      </w:r>
      <w:r>
        <w:rPr>
          <w:rFonts w:hint="eastAsia" w:ascii="仿宋" w:hAnsi="仿宋" w:eastAsia="仿宋" w:cs="仿宋"/>
          <w:b/>
          <w:bCs/>
          <w:color w:val="auto"/>
          <w:sz w:val="24"/>
          <w:szCs w:val="24"/>
          <w:lang w:val="en-US" w:eastAsia="zh-CN"/>
        </w:rPr>
        <w:t>一</w:t>
      </w:r>
      <w:r>
        <w:rPr>
          <w:rFonts w:hint="eastAsia" w:ascii="仿宋" w:hAnsi="仿宋" w:eastAsia="仿宋" w:cs="仿宋"/>
          <w:b/>
          <w:bCs/>
          <w:color w:val="auto"/>
          <w:sz w:val="24"/>
          <w:szCs w:val="24"/>
          <w:lang w:eastAsia="zh-CN"/>
        </w:rPr>
        <w:t>）垃圾压缩站检查表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245"/>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pStyle w:val="2"/>
              <w:spacing w:line="360" w:lineRule="auto"/>
              <w:jc w:val="center"/>
              <w:rPr>
                <w:rFonts w:hint="eastAsia"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检查项目</w:t>
            </w:r>
          </w:p>
        </w:tc>
        <w:tc>
          <w:tcPr>
            <w:tcW w:w="1245" w:type="dxa"/>
            <w:vAlign w:val="center"/>
          </w:tcPr>
          <w:p>
            <w:pPr>
              <w:pStyle w:val="2"/>
              <w:spacing w:line="360" w:lineRule="auto"/>
              <w:jc w:val="center"/>
              <w:rPr>
                <w:rFonts w:hint="eastAsia"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检查内容</w:t>
            </w:r>
          </w:p>
        </w:tc>
        <w:tc>
          <w:tcPr>
            <w:tcW w:w="6383" w:type="dxa"/>
            <w:vAlign w:val="center"/>
          </w:tcPr>
          <w:p>
            <w:pPr>
              <w:pStyle w:val="2"/>
              <w:spacing w:line="360" w:lineRule="auto"/>
              <w:jc w:val="center"/>
              <w:rPr>
                <w:rFonts w:hint="eastAsia"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检查标准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整体环境</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标识标牌</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1.显眼处设有标识牌（包括场地标识、设备标识、安全标识），且内容完整规范；</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2.重要和危险位置的警告、警示标识、操作指示标识应完好齐全。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管理制度</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在作业区墙面醒目位置张贴压缩站操作规程、管理制度、安全制度。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站容站貌</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站外车辆回转场区和站内地面平整完好、无破损；建筑墙面外观整齐、无剥脱；门窗干净整洁、无破损。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站外卫生</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站外周边排污沟渠干净卫生，站外周边无垃圾、无杂物、无污水、无污渍、无积尘、无异味、无乱张贴拉挂。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站内卫生</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站内地面、排污渠、墙壁、窗户、天花板、压缩设备干净清洁，无垃圾、无杂物、无污水、无污渍、无积尘、无蛛网、无异味。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设施设备</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主体设施</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1.压缩站配套压缩设备或压缩转运车；</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2.压缩站主体设施及容器封闭；</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3.道路符合有关要求，满足车辆负荷和通行要求，道路宽度、转弯半径与承载能力等满足最大转运车辆满载运行的要求。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作业设备</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1.配套建设通风、降尘、除臭、降噪设备，且设备工作状态正常；</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2.配备高压冲洗设备，且设备工作状态正常；</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3.压缩设备具有封闭卸料、填装压实(压缩)、装箱启运等功能，且工作状态良好；</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4.设有联动或限位装置、锁紧或限位装置，且工作状态正常；</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5.压缩设备各接口连接配合良好；</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6.液压设备连接牢固、工作可靠。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设备维护</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1.站内给水、排污、照明、电气、压缩等设施设备维护保养良好，工作状态正常，且外观良好，无锈蚀，无破损，无污渍；</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2.压缩站内各种机械设备应进行日常维护保养，按照有关规定进行大、中、小修并有相关维修记录，各种机械设备达到使用年限必须进行报废。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配套设备</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1.压缩站作业区域配套供水、供电系统和照明设施；</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2.排水系统做到雨污分流。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污染防控</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通风除臭</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除臭和通风设施使用过程中效果良好。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污水处理</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1.站内污水接驳市政污水管网的，排污渠道畅通；</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2.排污渠道合理遮盖；</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3.建有沉沙池、隔油池或化粪池；</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4.未接驳市政污水管网的，建有污水收集池，配备污水收集车，定期将污水运输到市污水厂处理；</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5.出站转运车辆和垃圾桶站内清洗污水未流入周边明渠等非污水管网。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病媒消杀</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1.管理和操作人员按要求佩戴口罩、手套等防护物品，落实消毒、消杀制度，配备喷雾器、消毒剂等防控物资；</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2.每班作业完毕，对站内全面冲洗消毒；</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3.每周定期对空气净化设备和污水沉淀池进行清理消毒；</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4.每周定期组织开展站内外“四害”消杀工作，站内无蚊、蝇、蟑螂、老鼠。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噪音扰民</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1.站内转运车辆和操作人员工作秩序良好，无喧哗、吵闹现场发生；</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2.压缩站设备运作时或在正常运营时间内无噪音扰民现象。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运行管理</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管理规范</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1.压缩站管理架构健全，安排专人管理；</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2.管理人员和操作人员持证上岗，熟悉运行管理要求和设施操作规程；</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3.有运行作业手册及设备操作维护保养手册，规章制度和岗位职责明确、健全，实施到位。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应急处理</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压缩站有紧急突发情况发生，具备有效的应急处置预案或措施。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收集和运输作业</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1.收集、转运车辆和压缩站设施配套；</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2.转运车辆型号和载重量满足转运作业要求,密闭运输并保持车况良好。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压缩作业</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1.垃圾卸车、压实(压缩)、装车过程按照操作规程执行且作业规范；</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2.有应对垃圾转运高峰和紧急状况的措施；</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3.有非生活垃圾混入，能及时处理。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进料检查</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在装填垃圾作业时，严格检查垃圾成分，不得将危险废物、违禁废物和大件垃圾倒进料斗，不得压缩非城市生活垃圾；不得在站内分拣垃圾。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车辆停放</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1.转运车辆依次停放在车辆回转场区等候进站；不得鸣笛；不得占用周边市政道路，影响车辆和行人通行。</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2.非转运车辆严禁站内停放，堵塞转运通道。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车辆离场</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1.桶装车驶离压缩站前，用高压水枪将车身和其所携载的垃圾桶冲洗干净；</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2.垃圾压缩车辆驶离压缩站前须将污水箱内污水排放干净，关闭排污阀，密闭箱体，打起接污水槽，用高压水枪将车身冲洗干净，清理夹挂垃圾，锁紧压缩车辆锁定机构。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清扫保洁</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1.进站垃圾做到日产日清，不堆积过夜；</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2.作业间隙站区地面及时冲洗、清扫、消毒，站内是否干净整洁。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工具管理</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站内作业工具、消毒用品集中存放在工具房，规范有序摆放，妥善保管，未在站内堆积存放与压缩转运作业无关的物品。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安全生产</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安全制度</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1.岗位操作规程齐全且已上墙；</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2.操作人员按规章制度作业；</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3.落实安全生产日常巡查、自查制度。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消防安全</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1.站区内设置明显防火标志；</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2.站区内配有消防栓和灭火器、防毒面罩等消防设施设备；</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3.消防栓水压正常；灭火器、防毒面罩每月检查维护不少于1次，处于正常可用状态；</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4.严禁站内吸烟。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用电安全</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1.站内用电设备和线路无破损、无老化；</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2.无私拉电线和随意搭接临时电线；</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3.电线走线安全合理避免落地；</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4.严禁站内给电动单车充电。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Merge w:val="continue"/>
            <w:vAlign w:val="center"/>
          </w:tcPr>
          <w:p>
            <w:pPr>
              <w:spacing w:line="360" w:lineRule="auto"/>
              <w:jc w:val="center"/>
              <w:rPr>
                <w:rFonts w:hint="eastAsia" w:ascii="仿宋" w:hAnsi="仿宋" w:eastAsia="仿宋" w:cs="仿宋"/>
                <w:color w:val="auto"/>
                <w:sz w:val="24"/>
                <w:szCs w:val="24"/>
                <w:vertAlign w:val="baseline"/>
              </w:rPr>
            </w:pP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作业安全</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1.严格按照操作规程进行车厢装卸、翻桶、压缩等作业；</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2.非站点操作人员严禁操作站内作业设备；</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3.在进行车厢装卸、翻桶作业时，周边人员均在安全范围内。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i w:val="0"/>
                <w:iCs w:val="0"/>
                <w:color w:val="auto"/>
                <w:kern w:val="0"/>
                <w:sz w:val="24"/>
                <w:szCs w:val="24"/>
                <w:u w:val="none"/>
                <w:lang w:val="en-US" w:eastAsia="zh-CN" w:bidi="ar"/>
              </w:rPr>
              <w:t>台账管理</w:t>
            </w:r>
          </w:p>
        </w:tc>
        <w:tc>
          <w:tcPr>
            <w:tcW w:w="124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工作台账</w:t>
            </w:r>
          </w:p>
        </w:tc>
        <w:tc>
          <w:tcPr>
            <w:tcW w:w="6383"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压缩站内是否有相关运行管理记录台账（垃圾量日、月、年记录；掌握日污水产生量及数量；作业日记；燃油料消耗记录；车辆和设备运行维护记录；每日进站车辆数量和出站箱数；事故及其处理记录；消毒、消杀记录；安全生产检查记录；安全隐患整改记录等）。</w:t>
            </w:r>
          </w:p>
        </w:tc>
      </w:tr>
    </w:tbl>
    <w:p>
      <w:pPr>
        <w:pStyle w:val="2"/>
        <w:rPr>
          <w:rFonts w:hint="eastAsia"/>
          <w:color w:val="auto"/>
        </w:rPr>
      </w:pPr>
    </w:p>
    <w:p>
      <w:pPr>
        <w:pStyle w:val="2"/>
        <w:numPr>
          <w:ilvl w:val="0"/>
          <w:numId w:val="2"/>
        </w:numPr>
        <w:rPr>
          <w:rFonts w:hint="eastAsia"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压缩站规范管理要求</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7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pStyle w:val="2"/>
              <w:spacing w:line="360" w:lineRule="auto"/>
              <w:jc w:val="center"/>
              <w:rPr>
                <w:rFonts w:hint="eastAsia"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管理项目</w:t>
            </w:r>
          </w:p>
        </w:tc>
        <w:tc>
          <w:tcPr>
            <w:tcW w:w="4184" w:type="pct"/>
            <w:vAlign w:val="center"/>
          </w:tcPr>
          <w:p>
            <w:pPr>
              <w:pStyle w:val="2"/>
              <w:spacing w:line="360" w:lineRule="auto"/>
              <w:jc w:val="center"/>
              <w:rPr>
                <w:rFonts w:hint="default" w:ascii="仿宋" w:hAnsi="仿宋" w:eastAsia="仿宋" w:cs="仿宋"/>
                <w:b/>
                <w:bCs/>
                <w:color w:val="auto"/>
                <w:spacing w:val="0"/>
                <w:kern w:val="2"/>
                <w:sz w:val="24"/>
                <w:szCs w:val="24"/>
                <w:lang w:val="en-US" w:eastAsia="zh-CN" w:bidi="ar-SA"/>
              </w:rPr>
            </w:pPr>
            <w:r>
              <w:rPr>
                <w:rFonts w:hint="eastAsia" w:ascii="仿宋" w:hAnsi="仿宋" w:eastAsia="仿宋" w:cs="仿宋"/>
                <w:b/>
                <w:bCs/>
                <w:color w:val="auto"/>
                <w:spacing w:val="0"/>
                <w:kern w:val="2"/>
                <w:sz w:val="24"/>
                <w:szCs w:val="24"/>
                <w:lang w:val="en-US" w:eastAsia="zh-CN" w:bidi="ar-SA"/>
              </w:rPr>
              <w:t>压缩站日常管理内容和要求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压缩站环境治理</w:t>
            </w:r>
          </w:p>
        </w:tc>
        <w:tc>
          <w:tcPr>
            <w:tcW w:w="4184" w:type="pct"/>
            <w:vAlign w:val="center"/>
          </w:tcPr>
          <w:p>
            <w:pPr>
              <w:numPr>
                <w:ilvl w:val="0"/>
                <w:numId w:val="0"/>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压缩站显眼处应设有标识牌，内容标准：压缩站名称、管理单位、责任人、联系电话、投诉电话；尺寸大小为：80cm*60cm；</w:t>
            </w:r>
          </w:p>
          <w:p>
            <w:pPr>
              <w:numPr>
                <w:ilvl w:val="0"/>
                <w:numId w:val="0"/>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保持站内外卫生清扫保洁工作，无垃圾撒落和污水遍地问题，保持站内外环境卫生干净整洁；</w:t>
            </w:r>
          </w:p>
          <w:p>
            <w:pPr>
              <w:numPr>
                <w:ilvl w:val="0"/>
                <w:numId w:val="0"/>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压缩站内地面应保持平整，无明显的龟裂现象；</w:t>
            </w:r>
          </w:p>
          <w:p>
            <w:pPr>
              <w:numPr>
                <w:ilvl w:val="0"/>
                <w:numId w:val="0"/>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墙面无污迹、门窗无破损、天花无蜘蛛网，墙面无乱张贴、乱拉挂现象；</w:t>
            </w:r>
          </w:p>
          <w:p>
            <w:pPr>
              <w:numPr>
                <w:ilvl w:val="0"/>
                <w:numId w:val="0"/>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积极做好设备保养，应保持整洁，无锈迹、污垢、积尘；</w:t>
            </w:r>
          </w:p>
          <w:p>
            <w:pPr>
              <w:numPr>
                <w:ilvl w:val="0"/>
                <w:numId w:val="0"/>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警告、警示标识、操作指示标识应完好齐全。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作业秩序（操作人员作业规范）</w:t>
            </w:r>
          </w:p>
        </w:tc>
        <w:tc>
          <w:tcPr>
            <w:tcW w:w="4184" w:type="pct"/>
            <w:vAlign w:val="center"/>
          </w:tcPr>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进入压缩站车辆，车容车貌要整洁，按规定及时清洗消毒，塑料垃圾桶清洗干净方可离站；</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按照《生活垃圾压缩站操作规程》，操作人员规范操作设备，对进站内的垃圾进行装填和压缩作业；</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作业人员应分类收集、运输生活垃圾；</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大件垃圾应破碎后才能压缩；</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不能压缩非城市生活垃圾、有害垃圾；</w:t>
            </w:r>
          </w:p>
          <w:p>
            <w:pPr>
              <w:numPr>
                <w:ilvl w:val="0"/>
                <w:numId w:val="3"/>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垃圾收集车辆应服从指挥，应排队进站，有秩序等候；</w:t>
            </w:r>
          </w:p>
          <w:p>
            <w:pPr>
              <w:numPr>
                <w:ilvl w:val="0"/>
                <w:numId w:val="3"/>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文明作业，装卸垃圾桶应轻拿轻放，不能在站内喧哗、吵闹。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防“跑、冒、滴、漏”功能性检查</w:t>
            </w:r>
          </w:p>
        </w:tc>
        <w:tc>
          <w:tcPr>
            <w:tcW w:w="4184" w:type="pct"/>
            <w:vAlign w:val="center"/>
          </w:tcPr>
          <w:p>
            <w:pPr>
              <w:numPr>
                <w:ilvl w:val="0"/>
                <w:numId w:val="4"/>
              </w:numPr>
              <w:spacing w:line="360" w:lineRule="auto"/>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工作现场应设有冲洗设备，应具备相应清洗功能；</w:t>
            </w:r>
          </w:p>
          <w:p>
            <w:pPr>
              <w:numPr>
                <w:ilvl w:val="0"/>
                <w:numId w:val="4"/>
              </w:numPr>
              <w:spacing w:line="360" w:lineRule="auto"/>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压缩机防尘罩应保持完好，功能正常；</w:t>
            </w:r>
          </w:p>
          <w:p>
            <w:pPr>
              <w:numPr>
                <w:ilvl w:val="0"/>
                <w:numId w:val="4"/>
              </w:numPr>
              <w:spacing w:line="360" w:lineRule="auto"/>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压缩机排水装置应无明显损坏，功能正常；</w:t>
            </w:r>
          </w:p>
          <w:p>
            <w:pPr>
              <w:numPr>
                <w:ilvl w:val="0"/>
                <w:numId w:val="4"/>
              </w:numPr>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rPr>
              <w:t>压缩站车厢压载垃圾前必须把排污口打开，尽量排尽压缩过程中产生的污水；</w:t>
            </w:r>
          </w:p>
          <w:p>
            <w:pPr>
              <w:numPr>
                <w:ilvl w:val="0"/>
                <w:numId w:val="4"/>
              </w:numPr>
              <w:spacing w:line="360" w:lineRule="auto"/>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压缩装填完成后，确保排污口全部关闭、阀门密闭无滴漏、厢体外无吊挂垃圾，车身整洁再上路。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专用功能运行状况</w:t>
            </w:r>
          </w:p>
        </w:tc>
        <w:tc>
          <w:tcPr>
            <w:tcW w:w="4184" w:type="pct"/>
            <w:vAlign w:val="center"/>
          </w:tcPr>
          <w:p>
            <w:pPr>
              <w:numPr>
                <w:ilvl w:val="0"/>
                <w:numId w:val="5"/>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电控系统工作正常；</w:t>
            </w:r>
          </w:p>
          <w:p>
            <w:pPr>
              <w:numPr>
                <w:ilvl w:val="0"/>
                <w:numId w:val="5"/>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各锁定装置应运行正常（锁定装置包括：插板，挡板，抱钩或锁拉钩，底盘插销）；</w:t>
            </w:r>
          </w:p>
          <w:p>
            <w:pPr>
              <w:numPr>
                <w:ilvl w:val="0"/>
                <w:numId w:val="5"/>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举升装置应运行正常无损坏；</w:t>
            </w:r>
          </w:p>
          <w:p>
            <w:pPr>
              <w:numPr>
                <w:ilvl w:val="0"/>
                <w:numId w:val="5"/>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液压系统和机械部件应运行稳定无异响；</w:t>
            </w:r>
          </w:p>
          <w:p>
            <w:pPr>
              <w:numPr>
                <w:ilvl w:val="0"/>
                <w:numId w:val="5"/>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各关键部位的润滑系、液压系统应无漏油。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污水排放、工作环境质量</w:t>
            </w:r>
          </w:p>
        </w:tc>
        <w:tc>
          <w:tcPr>
            <w:tcW w:w="4184" w:type="pct"/>
            <w:vAlign w:val="center"/>
          </w:tcPr>
          <w:p>
            <w:pPr>
              <w:numPr>
                <w:ilvl w:val="0"/>
                <w:numId w:val="6"/>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压缩站污水收集系统应保持完好；</w:t>
            </w:r>
          </w:p>
          <w:p>
            <w:pPr>
              <w:numPr>
                <w:ilvl w:val="0"/>
                <w:numId w:val="6"/>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排污渠道内无污泥沉积和杂物；</w:t>
            </w:r>
          </w:p>
          <w:p>
            <w:pPr>
              <w:numPr>
                <w:ilvl w:val="0"/>
                <w:numId w:val="6"/>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站内污水口无木板和其他物品盖住；</w:t>
            </w:r>
          </w:p>
          <w:p>
            <w:pPr>
              <w:numPr>
                <w:ilvl w:val="0"/>
                <w:numId w:val="6"/>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配置除臭设施并正常使用；</w:t>
            </w:r>
          </w:p>
          <w:p>
            <w:pPr>
              <w:numPr>
                <w:ilvl w:val="0"/>
                <w:numId w:val="6"/>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在站门口测量现场噪声，工作时噪声值≤70分贝；</w:t>
            </w:r>
          </w:p>
          <w:p>
            <w:pPr>
              <w:numPr>
                <w:ilvl w:val="0"/>
                <w:numId w:val="6"/>
              </w:numPr>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color w:val="auto"/>
                <w:sz w:val="24"/>
                <w:szCs w:val="24"/>
              </w:rPr>
              <w:t>定期组织站内消杀，确保站内无蚊、蝇、蟑螂、老鼠；</w:t>
            </w:r>
          </w:p>
          <w:p>
            <w:pPr>
              <w:numPr>
                <w:ilvl w:val="0"/>
                <w:numId w:val="6"/>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出站车辆（包括手推车、翻斗车、垃圾运输车）和垃圾桶均要在站内清洗。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安全生产</w:t>
            </w:r>
          </w:p>
        </w:tc>
        <w:tc>
          <w:tcPr>
            <w:tcW w:w="4184" w:type="pct"/>
            <w:vAlign w:val="center"/>
          </w:tcPr>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定期开展安全生产检查工作；</w:t>
            </w:r>
          </w:p>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遵守机械设备安全操作规程，严禁非专业人员操作、使用相关设备；</w:t>
            </w:r>
          </w:p>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遵守用电安全管理规定，严禁私拉电线和随意搭接临时电线；严禁私自改装、调试设备；严禁超负荷用电；</w:t>
            </w:r>
          </w:p>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在进行垃圾压缩作业时任何人不得进入垃圾压缩机投料仓；在进行升降厢作业时候任何人及肢体不得进入车厢正下方；</w:t>
            </w:r>
          </w:p>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装卸车厢前必须确认车厢机械锁销和管线快速连接装置置于正确位置；装卸过程中，应清理车厢周边人员，并检查四柱升举油缸挂钩位置和箱体上升下降的稳定性；翻料作业时必须确认垃圾桶挂钩牢固、其他人员在安全范围内方可操作翻桶作业，严防安全事故发生；大件垃圾应破碎后才能压缩；</w:t>
            </w:r>
          </w:p>
          <w:p>
            <w:pPr>
              <w:numPr>
                <w:ilvl w:val="0"/>
                <w:numId w:val="7"/>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严禁私自调高设备压力，避免损坏车厢设备；</w:t>
            </w:r>
          </w:p>
          <w:p>
            <w:pPr>
              <w:numPr>
                <w:ilvl w:val="0"/>
                <w:numId w:val="7"/>
              </w:numPr>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color w:val="auto"/>
                <w:sz w:val="24"/>
                <w:szCs w:val="24"/>
              </w:rPr>
              <w:t>站区内设置明显防火标志，按照国家标准配备消防器材，并保持完好。严禁带火种车辆进入作业区，严禁在作业区内吸烟；</w:t>
            </w:r>
          </w:p>
          <w:p>
            <w:pPr>
              <w:numPr>
                <w:ilvl w:val="0"/>
                <w:numId w:val="7"/>
              </w:numPr>
              <w:spacing w:line="360" w:lineRule="auto"/>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发现设备故障应及时停机并报告。作业结束闭站，关闭设施设备电源，关闭门锁门闸，确保安全。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疫情防控工作</w:t>
            </w:r>
          </w:p>
        </w:tc>
        <w:tc>
          <w:tcPr>
            <w:tcW w:w="4184" w:type="pct"/>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管理和操作人员是否按要求佩戴口罩、手套等防护物品，是否落实消毒、消杀制度，配备喷雾器、消毒剂等防控物资。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color w:val="auto"/>
                <w:sz w:val="24"/>
                <w:szCs w:val="24"/>
                <w:vertAlign w:val="baseline"/>
              </w:rPr>
            </w:pPr>
            <w:r>
              <w:rPr>
                <w:rFonts w:hint="eastAsia" w:ascii="仿宋" w:hAnsi="仿宋" w:eastAsia="仿宋" w:cs="仿宋"/>
                <w:b w:val="0"/>
                <w:bCs w:val="0"/>
                <w:color w:val="auto"/>
                <w:sz w:val="24"/>
                <w:szCs w:val="24"/>
              </w:rPr>
              <w:t>管理台账</w:t>
            </w:r>
          </w:p>
        </w:tc>
        <w:tc>
          <w:tcPr>
            <w:tcW w:w="4184" w:type="pct"/>
            <w:vAlign w:val="center"/>
          </w:tcPr>
          <w:p>
            <w:pPr>
              <w:keepNext w:val="0"/>
              <w:keepLines w:val="0"/>
              <w:widowControl/>
              <w:suppressLineNumbers w:val="0"/>
              <w:spacing w:line="360" w:lineRule="auto"/>
              <w:jc w:val="left"/>
              <w:textAlignment w:val="center"/>
              <w:rPr>
                <w:rFonts w:hint="eastAsia" w:ascii="仿宋" w:hAnsi="仿宋" w:eastAsia="仿宋" w:cs="仿宋"/>
                <w:color w:val="auto"/>
                <w:sz w:val="24"/>
                <w:szCs w:val="24"/>
                <w:vertAlign w:val="baseline"/>
              </w:rPr>
            </w:pPr>
            <w:r>
              <w:rPr>
                <w:rFonts w:hint="eastAsia" w:ascii="仿宋" w:hAnsi="仿宋" w:eastAsia="仿宋" w:cs="仿宋"/>
                <w:color w:val="auto"/>
                <w:sz w:val="24"/>
                <w:szCs w:val="24"/>
              </w:rPr>
              <w:t>每日进站的车辆数量和出站厢数、生活垃圾日压缩转运量、防疫消毒记录、四害消杀记录、周自检记录、未接通市政污水管网压缩站污水转运记录。</w:t>
            </w:r>
          </w:p>
        </w:tc>
      </w:tr>
    </w:tbl>
    <w:p>
      <w:pPr>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pPr>
        <w:widowControl w:val="0"/>
        <w:numPr>
          <w:ilvl w:val="0"/>
          <w:numId w:val="0"/>
        </w:numPr>
        <w:spacing w:line="360" w:lineRule="auto"/>
        <w:jc w:val="both"/>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附件1</w:t>
      </w:r>
    </w:p>
    <w:p>
      <w:pPr>
        <w:widowControl w:val="0"/>
        <w:numPr>
          <w:ilvl w:val="0"/>
          <w:numId w:val="0"/>
        </w:numPr>
        <w:spacing w:line="360" w:lineRule="auto"/>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广州市城市管理专用作业车辆和设备管理办法</w:t>
      </w:r>
    </w:p>
    <w:p>
      <w:pPr>
        <w:widowControl w:val="0"/>
        <w:numPr>
          <w:ilvl w:val="0"/>
          <w:numId w:val="8"/>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为建设服务型政府，加强城市管理专用作业车辆和设备管理，确保各类城市管理专用作业车辆和设备处于良好运行状态，提升城市管理服务质量，根据《城市市容和环境卫生管理条例》（国务院令第 101 号）、《广东省城乡生活垃圾处理条例》、《城市建筑垃圾管理规定》（建设部令第139 号）、《城市生活垃圾管理办法》（建设部令第 157 号）、《广州市生活垃圾分类管理条例》、《广州市市容环境卫生管理规定》和《广州市建筑废弃物管理条例》等国家、省、市有关法律法规、规章和技术规范，结合我市实际，制定本办法。</w:t>
      </w:r>
    </w:p>
    <w:p>
      <w:pPr>
        <w:widowControl w:val="0"/>
        <w:numPr>
          <w:ilvl w:val="0"/>
          <w:numId w:val="8"/>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市行政区域内城市管理专用作业车辆和设备管理适用本办法。包括：各类道路清扫车辆；各类道路及市容洒水、清洗作业车辆；各类生活垃圾收运车辆；各类罐式及容器收运车辆；各类分类垃圾收运车辆；各类建筑废弃物运输车辆；各类水上垃圾收集、保洁船只；各类垃圾中转、压缩或处理设备</w:t>
      </w:r>
      <w:r>
        <w:rPr>
          <w:rFonts w:hint="eastAsia" w:ascii="仿宋" w:hAnsi="仿宋" w:eastAsia="仿宋" w:cs="仿宋"/>
          <w:color w:val="auto"/>
          <w:sz w:val="24"/>
          <w:szCs w:val="24"/>
          <w:lang w:eastAsia="zh-CN"/>
        </w:rPr>
        <w:t>。</w:t>
      </w:r>
    </w:p>
    <w:p>
      <w:pPr>
        <w:widowControl w:val="0"/>
        <w:numPr>
          <w:ilvl w:val="0"/>
          <w:numId w:val="8"/>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城市管理专用作业车辆和设备实行日常养护，定期检查，分类管理的原则。</w:t>
      </w:r>
    </w:p>
    <w:p>
      <w:pPr>
        <w:widowControl w:val="0"/>
        <w:numPr>
          <w:ilvl w:val="0"/>
          <w:numId w:val="0"/>
        </w:numPr>
        <w:spacing w:line="360" w:lineRule="auto"/>
        <w:ind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广州市城市管理委员会应当制定完善城市管理专用作业车辆和设备的相关规范要求。</w:t>
      </w:r>
    </w:p>
    <w:p>
      <w:pPr>
        <w:widowControl w:val="0"/>
        <w:numPr>
          <w:ilvl w:val="0"/>
          <w:numId w:val="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广州市城市管理委员会是城市管理专用作业车辆和设备的主管部门，区城管部门负责行政区域内城市管理专用作业车辆和设备的日常监管。</w:t>
      </w:r>
    </w:p>
    <w:p>
      <w:pPr>
        <w:widowControl w:val="0"/>
        <w:numPr>
          <w:ilvl w:val="0"/>
          <w:numId w:val="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使用单位负责作业车辆和设备的日常保养维护，应建立健全相应的维修保养、经费投入、人员培训等管理制度和保障机制，确保车辆和设备处于良好运行状态。城市管理专用作业车辆和设备应当定期进行检查，检查合格方可从事城市管理作业。定期检查的技术保障由广州市城市管理委员会下属城市管理机械设备保障机构承担。</w:t>
      </w:r>
    </w:p>
    <w:p>
      <w:pPr>
        <w:widowControl w:val="0"/>
        <w:numPr>
          <w:ilvl w:val="0"/>
          <w:numId w:val="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各区城管部门应当督促使用单位对城市管理专用作业车辆和设备进行维护保养，确保车容美观，车况良好。加强对垃圾运输车辆司乘人员的教育，严禁垃圾运输作业超高超载、垃圾外露、挂包、扬洒和渗滤液滴漏。</w:t>
      </w:r>
    </w:p>
    <w:p>
      <w:pPr>
        <w:widowControl w:val="0"/>
        <w:numPr>
          <w:ilvl w:val="0"/>
          <w:numId w:val="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在垃圾压缩装填完成后，应当清理接水槽，保证接水槽干净无积存垃圾，尽量排尽压缩过程中产生的污水，清理车辆尾部周边的吊挂垃圾，冲洗干净车身，确保排污口全部关闭、阀门密闭无滴漏、厢体外无吊挂垃圾，车身整洁再上路。</w:t>
      </w:r>
    </w:p>
    <w:p>
      <w:pPr>
        <w:widowControl w:val="0"/>
        <w:numPr>
          <w:ilvl w:val="0"/>
          <w:numId w:val="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城市管理专用作业车辆和设备按以下范围和频次进行检查：</w:t>
      </w:r>
    </w:p>
    <w:p>
      <w:pPr>
        <w:widowControl w:val="0"/>
        <w:numPr>
          <w:ilvl w:val="0"/>
          <w:numId w:val="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各类道路及市容洒水、清洗作业车辆；各类罐式及容器收运车辆；各类水上垃圾收集、保洁船只等城市管理专用作业车辆和设备每年检查一次。</w:t>
      </w:r>
    </w:p>
    <w:p>
      <w:pPr>
        <w:widowControl w:val="0"/>
        <w:numPr>
          <w:ilvl w:val="0"/>
          <w:numId w:val="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建筑废弃物运输车辆每半年检查一次。</w:t>
      </w:r>
    </w:p>
    <w:p>
      <w:pPr>
        <w:widowControl w:val="0"/>
        <w:numPr>
          <w:ilvl w:val="0"/>
          <w:numId w:val="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各</w:t>
      </w:r>
      <w:r>
        <w:rPr>
          <w:rFonts w:hint="eastAsia" w:ascii="仿宋" w:hAnsi="仿宋" w:eastAsia="仿宋" w:cs="仿宋"/>
          <w:color w:val="auto"/>
          <w:sz w:val="24"/>
          <w:szCs w:val="24"/>
        </w:rPr>
        <w:t>类道路清扫车辆；各类分类垃圾收运车辆；各类生活垃圾收运车辆；各类垃圾中转、压缩或处理设备每三个月检查一次。</w:t>
      </w:r>
    </w:p>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城市管理专用作业车辆和设备检查范围和频次，可根据管理需要进行调</w:t>
      </w:r>
      <w:r>
        <w:rPr>
          <w:rFonts w:hint="eastAsia" w:ascii="仿宋" w:hAnsi="仿宋" w:eastAsia="仿宋" w:cs="仿宋"/>
          <w:color w:val="auto"/>
          <w:sz w:val="24"/>
          <w:szCs w:val="24"/>
          <w:lang w:val="en-US" w:eastAsia="zh-CN"/>
        </w:rPr>
        <w:t>整。</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第九条 </w:t>
      </w:r>
      <w:r>
        <w:rPr>
          <w:rFonts w:hint="eastAsia" w:ascii="仿宋" w:hAnsi="仿宋" w:eastAsia="仿宋" w:cs="仿宋"/>
          <w:color w:val="auto"/>
          <w:sz w:val="24"/>
          <w:szCs w:val="24"/>
        </w:rPr>
        <w:t>城市管理专用作业车辆和设备检查采取以区为单位，定时定点集中检查为主，零散或复检车辆定点送检为辅，过程抽查配合的模式。</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城市管理专用作业车辆和设备检查工作规范另行制定。</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第十条 </w:t>
      </w:r>
      <w:r>
        <w:rPr>
          <w:rFonts w:hint="eastAsia" w:ascii="仿宋" w:hAnsi="仿宋" w:eastAsia="仿宋" w:cs="仿宋"/>
          <w:color w:val="auto"/>
          <w:sz w:val="24"/>
          <w:szCs w:val="24"/>
        </w:rPr>
        <w:t>纳入检查范围的车辆和设备应建立管理档案。</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在投入作业前，应当进行首次检查，并将相关信息录入广州市城市管理信息化管理体系数据库。数据库的日常管理、数据采集、分析应用由广州市城市管理委员会下属城市管理机械设备保障机构承担。</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第十一条 </w:t>
      </w:r>
      <w:r>
        <w:rPr>
          <w:rFonts w:hint="eastAsia" w:ascii="仿宋" w:hAnsi="仿宋" w:eastAsia="仿宋" w:cs="仿宋"/>
          <w:color w:val="auto"/>
          <w:sz w:val="24"/>
          <w:szCs w:val="24"/>
        </w:rPr>
        <w:t>城市管理专用作业车辆和设备检查包括以下内容：</w:t>
      </w:r>
    </w:p>
    <w:p>
      <w:pPr>
        <w:widowControl w:val="0"/>
        <w:numPr>
          <w:ilvl w:val="0"/>
          <w:numId w:val="10"/>
        </w:numPr>
        <w:spacing w:line="360" w:lineRule="auto"/>
        <w:ind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作业单位城市管理作业资质核查。</w:t>
      </w:r>
    </w:p>
    <w:p>
      <w:pPr>
        <w:widowControl w:val="0"/>
        <w:numPr>
          <w:ilvl w:val="0"/>
          <w:numId w:val="10"/>
        </w:numPr>
        <w:spacing w:line="360" w:lineRule="auto"/>
        <w:ind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城市管理专用作业车辆和设备的相关信息。</w:t>
      </w:r>
    </w:p>
    <w:p>
      <w:pPr>
        <w:widowControl w:val="0"/>
        <w:numPr>
          <w:ilvl w:val="0"/>
          <w:numId w:val="10"/>
        </w:numPr>
        <w:spacing w:line="360" w:lineRule="auto"/>
        <w:ind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车辆和设备状况评价：</w:t>
      </w:r>
    </w:p>
    <w:p>
      <w:pPr>
        <w:widowControl w:val="0"/>
        <w:numPr>
          <w:ilvl w:val="0"/>
          <w:numId w:val="11"/>
        </w:numPr>
        <w:spacing w:line="360" w:lineRule="auto"/>
        <w:ind w:firstLine="960" w:firstLineChars="400"/>
        <w:jc w:val="both"/>
        <w:rPr>
          <w:rFonts w:hint="eastAsia" w:ascii="仿宋" w:hAnsi="仿宋" w:eastAsia="仿宋" w:cs="仿宋"/>
          <w:color w:val="auto"/>
          <w:sz w:val="24"/>
          <w:szCs w:val="24"/>
        </w:rPr>
      </w:pPr>
      <w:r>
        <w:rPr>
          <w:rFonts w:hint="eastAsia" w:ascii="仿宋" w:hAnsi="仿宋" w:eastAsia="仿宋" w:cs="仿宋"/>
          <w:color w:val="auto"/>
          <w:sz w:val="24"/>
          <w:szCs w:val="24"/>
        </w:rPr>
        <w:t>专用设备基本安全性能评；</w:t>
      </w:r>
    </w:p>
    <w:p>
      <w:pPr>
        <w:widowControl w:val="0"/>
        <w:numPr>
          <w:ilvl w:val="0"/>
          <w:numId w:val="11"/>
        </w:numPr>
        <w:spacing w:line="360" w:lineRule="auto"/>
        <w:ind w:firstLine="960" w:firstLineChars="400"/>
        <w:jc w:val="both"/>
        <w:rPr>
          <w:rFonts w:hint="eastAsia" w:ascii="仿宋" w:hAnsi="仿宋" w:eastAsia="仿宋" w:cs="仿宋"/>
          <w:color w:val="auto"/>
          <w:sz w:val="24"/>
          <w:szCs w:val="24"/>
        </w:rPr>
      </w:pPr>
      <w:r>
        <w:rPr>
          <w:rFonts w:hint="eastAsia" w:ascii="仿宋" w:hAnsi="仿宋" w:eastAsia="仿宋" w:cs="仿宋"/>
          <w:color w:val="auto"/>
          <w:sz w:val="24"/>
          <w:szCs w:val="24"/>
        </w:rPr>
        <w:t>车容车貌、设备整体外观评价；</w:t>
      </w:r>
    </w:p>
    <w:p>
      <w:pPr>
        <w:widowControl w:val="0"/>
        <w:numPr>
          <w:ilvl w:val="0"/>
          <w:numId w:val="11"/>
        </w:numPr>
        <w:spacing w:line="360" w:lineRule="auto"/>
        <w:ind w:firstLine="960" w:firstLineChars="400"/>
        <w:jc w:val="both"/>
        <w:rPr>
          <w:rFonts w:hint="eastAsia" w:ascii="仿宋" w:hAnsi="仿宋" w:eastAsia="仿宋" w:cs="仿宋"/>
          <w:color w:val="auto"/>
          <w:sz w:val="24"/>
          <w:szCs w:val="24"/>
        </w:rPr>
      </w:pPr>
      <w:r>
        <w:rPr>
          <w:rFonts w:hint="eastAsia" w:ascii="仿宋" w:hAnsi="仿宋" w:eastAsia="仿宋" w:cs="仿宋"/>
          <w:color w:val="auto"/>
          <w:sz w:val="24"/>
          <w:szCs w:val="24"/>
        </w:rPr>
        <w:t>防“跑、冒、滴、漏”功能性检测；</w:t>
      </w:r>
    </w:p>
    <w:p>
      <w:pPr>
        <w:widowControl w:val="0"/>
        <w:numPr>
          <w:ilvl w:val="0"/>
          <w:numId w:val="11"/>
        </w:numPr>
        <w:spacing w:line="360" w:lineRule="auto"/>
        <w:ind w:firstLine="960" w:firstLineChars="400"/>
        <w:jc w:val="both"/>
        <w:rPr>
          <w:rFonts w:hint="eastAsia" w:ascii="仿宋" w:hAnsi="仿宋" w:eastAsia="仿宋" w:cs="仿宋"/>
          <w:color w:val="auto"/>
          <w:sz w:val="24"/>
          <w:szCs w:val="24"/>
        </w:rPr>
      </w:pPr>
      <w:r>
        <w:rPr>
          <w:rFonts w:hint="eastAsia" w:ascii="仿宋" w:hAnsi="仿宋" w:eastAsia="仿宋" w:cs="仿宋"/>
          <w:color w:val="auto"/>
          <w:sz w:val="24"/>
          <w:szCs w:val="24"/>
        </w:rPr>
        <w:t>专用功能运行状况检测；</w:t>
      </w:r>
    </w:p>
    <w:p>
      <w:pPr>
        <w:widowControl w:val="0"/>
        <w:numPr>
          <w:ilvl w:val="0"/>
          <w:numId w:val="11"/>
        </w:numPr>
        <w:spacing w:line="360" w:lineRule="auto"/>
        <w:ind w:firstLine="960" w:firstLineChars="400"/>
        <w:jc w:val="both"/>
        <w:rPr>
          <w:rFonts w:hint="eastAsia" w:ascii="仿宋" w:hAnsi="仿宋" w:eastAsia="仿宋" w:cs="仿宋"/>
          <w:color w:val="auto"/>
          <w:sz w:val="24"/>
          <w:szCs w:val="24"/>
        </w:rPr>
      </w:pPr>
      <w:r>
        <w:rPr>
          <w:rFonts w:hint="eastAsia" w:ascii="仿宋" w:hAnsi="仿宋" w:eastAsia="仿宋" w:cs="仿宋"/>
          <w:color w:val="auto"/>
          <w:sz w:val="24"/>
          <w:szCs w:val="24"/>
        </w:rPr>
        <w:t>污水排放、工作环境质量评价。</w:t>
      </w:r>
    </w:p>
    <w:p>
      <w:pPr>
        <w:widowControl w:val="0"/>
        <w:numPr>
          <w:ilvl w:val="0"/>
          <w:numId w:val="10"/>
        </w:numPr>
        <w:spacing w:line="360" w:lineRule="auto"/>
        <w:ind w:left="0" w:leftChars="0"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现场作业检查。</w:t>
      </w:r>
    </w:p>
    <w:p>
      <w:pPr>
        <w:widowControl w:val="0"/>
        <w:numPr>
          <w:ilvl w:val="0"/>
          <w:numId w:val="10"/>
        </w:numPr>
        <w:spacing w:line="360" w:lineRule="auto"/>
        <w:ind w:left="0" w:leftChars="0"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作业单位质量保证体系及劳动安全、作业环境评价。</w:t>
      </w:r>
    </w:p>
    <w:p>
      <w:pPr>
        <w:widowControl w:val="0"/>
        <w:numPr>
          <w:ilvl w:val="0"/>
          <w:numId w:val="10"/>
        </w:numPr>
        <w:spacing w:line="360" w:lineRule="auto"/>
        <w:ind w:left="0" w:leftChars="0"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整改情况。</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第十二条 </w:t>
      </w:r>
      <w:r>
        <w:rPr>
          <w:rFonts w:hint="eastAsia" w:ascii="仿宋" w:hAnsi="仿宋" w:eastAsia="仿宋" w:cs="仿宋"/>
          <w:color w:val="auto"/>
          <w:sz w:val="24"/>
          <w:szCs w:val="24"/>
        </w:rPr>
        <w:t>广州市城市管理专用作业车辆和设备实行分类管理制度，按检查评价结论分为 A、B、C、D 四类，相关信息及检查结果统一录入广州市城市管理信息化管理体系数据库，作为城市管理部门履行相关监管职能的依据。</w:t>
      </w:r>
    </w:p>
    <w:p>
      <w:pPr>
        <w:widowControl w:val="0"/>
        <w:numPr>
          <w:ilvl w:val="0"/>
          <w:numId w:val="1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A 类：车辆和设备容貌整洁，各项性能完好，各检查项目一次通过。</w:t>
      </w:r>
    </w:p>
    <w:p>
      <w:pPr>
        <w:widowControl w:val="0"/>
        <w:numPr>
          <w:ilvl w:val="0"/>
          <w:numId w:val="1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B 类：车辆和设备外观无大范围破损，符合专用功能基本要求，装载容器密闭，符合运输废弃物不外露、泄漏、遗撒的要求。</w:t>
      </w:r>
    </w:p>
    <w:p>
      <w:pPr>
        <w:widowControl w:val="0"/>
        <w:numPr>
          <w:ilvl w:val="0"/>
          <w:numId w:val="1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C 类：车辆和设备存在专用功能不符合相关技术规范，容貌不整洁，不符合运输废弃物不外露、泄漏、遗撒的要求</w:t>
      </w:r>
      <w:r>
        <w:rPr>
          <w:rFonts w:hint="eastAsia" w:ascii="仿宋" w:hAnsi="仿宋" w:eastAsia="仿宋" w:cs="仿宋"/>
          <w:color w:val="auto"/>
          <w:sz w:val="24"/>
          <w:szCs w:val="24"/>
          <w:lang w:eastAsia="zh-CN"/>
        </w:rPr>
        <w:t>。</w:t>
      </w:r>
    </w:p>
    <w:p>
      <w:pPr>
        <w:widowControl w:val="0"/>
        <w:numPr>
          <w:ilvl w:val="0"/>
          <w:numId w:val="1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D 类：车辆和设备作业功能或者密闭性存在严重缺陷，不符合作业要求或者外观严重影响市容。</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 xml:space="preserve">第十三条 </w:t>
      </w:r>
      <w:r>
        <w:rPr>
          <w:rFonts w:hint="eastAsia" w:ascii="仿宋" w:hAnsi="仿宋" w:eastAsia="仿宋" w:cs="仿宋"/>
          <w:color w:val="auto"/>
          <w:sz w:val="24"/>
          <w:szCs w:val="24"/>
        </w:rPr>
        <w:t>城市管理专用作业车辆和设备检查结果作为城市管理部门履行相关监管职能的依据，纳入“以奖代拨”体系，与市建设干净整洁平安有序城市环境检查评价方案等评价体系挂钩。</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评价为 A、B 类的可以正常作业。</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评价为 C、D 类的，应当在 30 日内完成整改，提请复检。未经整改或整改不合格继续作业造成泄漏、遗撒的，采取孰高适用原则按照《城市建筑垃圾管理规定》（建设部令第 139 号）第二十三条、《城市生活垃圾管理办法》（建设部令第 157 号）第四十四条、《广州市市容环境卫生管理规定》第五十八条第九项规定依法予以最高额度处罚。</w:t>
      </w:r>
    </w:p>
    <w:p>
      <w:pPr>
        <w:widowControl w:val="0"/>
        <w:numPr>
          <w:ilvl w:val="0"/>
          <w:numId w:val="0"/>
        </w:numPr>
        <w:spacing w:line="360" w:lineRule="auto"/>
        <w:ind w:left="479" w:leftChars="228"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评价为 C、D 类的，在整改期间暂停使用车辆的垃圾终处理设施进场IC卡。</w:t>
      </w:r>
      <w:r>
        <w:rPr>
          <w:rFonts w:hint="eastAsia" w:ascii="仿宋" w:hAnsi="仿宋" w:eastAsia="仿宋" w:cs="仿宋"/>
          <w:color w:val="auto"/>
          <w:sz w:val="24"/>
          <w:szCs w:val="24"/>
          <w:lang w:val="en-US" w:eastAsia="zh-CN"/>
        </w:rPr>
        <w:t xml:space="preserve">第十四条 </w:t>
      </w:r>
      <w:r>
        <w:rPr>
          <w:rFonts w:hint="eastAsia" w:ascii="仿宋" w:hAnsi="仿宋" w:eastAsia="仿宋" w:cs="仿宋"/>
          <w:color w:val="auto"/>
          <w:sz w:val="24"/>
          <w:szCs w:val="24"/>
        </w:rPr>
        <w:t>城市管理专用作业车辆和设备定期检查按照下列程序进行：</w:t>
      </w:r>
    </w:p>
    <w:p>
      <w:pPr>
        <w:widowControl w:val="0"/>
        <w:numPr>
          <w:ilvl w:val="0"/>
          <w:numId w:val="1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由城市管理机械设备保障机构与各区城管部门商定检查时间，根据广州市城市管理信息化管理体系数据库中的车辆和设备数据信息，编制全市所有车辆和设备的检查计划，并由各区城管部门送达各作业单位；</w:t>
      </w:r>
    </w:p>
    <w:p>
      <w:pPr>
        <w:widowControl w:val="0"/>
        <w:numPr>
          <w:ilvl w:val="0"/>
          <w:numId w:val="1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以区为单位，规定时间集中上门检查，零散或复检车辆由各区城管部门通知业主单位自行送城市管理机械设备保障机构检查；</w:t>
      </w:r>
    </w:p>
    <w:p>
      <w:pPr>
        <w:widowControl w:val="0"/>
        <w:numPr>
          <w:ilvl w:val="0"/>
          <w:numId w:val="1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各类水上垃圾收集、保洁船只及各类垃圾中转、压缩或处理设备等城市管理作业设备由城市管理机械设备保障机构上门检查；</w:t>
      </w:r>
    </w:p>
    <w:p>
      <w:pPr>
        <w:widowControl w:val="0"/>
        <w:numPr>
          <w:ilvl w:val="0"/>
          <w:numId w:val="1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城市管理专用作业车辆和设备实行全过程监督，由城市管理机械设备保障机构在垃圾中转、压缩站和生活垃圾终处理设施等场所进行不定期抽查；</w:t>
      </w:r>
    </w:p>
    <w:p>
      <w:pPr>
        <w:widowControl w:val="0"/>
        <w:numPr>
          <w:ilvl w:val="0"/>
          <w:numId w:val="1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城市管理机械设备保障机构对车辆和设备进行检查后，须于当日按照本办法第十三条作出等级评价，其中C、D类应提出整改建议。</w:t>
      </w:r>
    </w:p>
    <w:p>
      <w:pPr>
        <w:widowControl w:val="0"/>
        <w:numPr>
          <w:ilvl w:val="0"/>
          <w:numId w:val="0"/>
        </w:numPr>
        <w:spacing w:line="360" w:lineRule="auto"/>
        <w:ind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定期检查不得向作业单位收费，但整改中涉及的相关费用由整改人承担。</w:t>
      </w:r>
    </w:p>
    <w:p>
      <w:pPr>
        <w:widowControl w:val="0"/>
        <w:numPr>
          <w:ilvl w:val="0"/>
          <w:numId w:val="14"/>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现场作业检查中发现城市管理专用作业车辆和设备不作密封、包扎、覆盖，造成泄漏、遗撒的，城市管理机械设备保障机构告知城市管理综合执法机关按照《城市建筑垃圾管理规定》（建设部令第139号）第二十三条、《城市生活垃圾管理办法》（建设部令第 157 号）第四十四条、《广州市市容环境卫生管理规定》第五十八条第九项规定依法予以处罚。</w:t>
      </w:r>
    </w:p>
    <w:p>
      <w:pPr>
        <w:widowControl w:val="0"/>
        <w:numPr>
          <w:ilvl w:val="0"/>
          <w:numId w:val="14"/>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作业单位不接受检查或者在检查工作中弄虚作假的，按本办法第十三条第四款规定处理。</w:t>
      </w:r>
    </w:p>
    <w:p>
      <w:pPr>
        <w:widowControl w:val="0"/>
        <w:numPr>
          <w:ilvl w:val="0"/>
          <w:numId w:val="14"/>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负责检查、检测城市管理专用作业车辆和设备的有关工作人员滥用职权、玩忽职守、循私舞弊的，由主管部门视情节轻重给予相应的行政处分；构成犯罪的，移交司法机关处理。</w:t>
      </w:r>
    </w:p>
    <w:p>
      <w:pPr>
        <w:widowControl w:val="0"/>
        <w:numPr>
          <w:ilvl w:val="0"/>
          <w:numId w:val="14"/>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本办法自 2018 年 8 月 8 日起施行，有效期五年。</w:t>
      </w:r>
    </w:p>
    <w:p>
      <w:pPr>
        <w:widowControl w:val="0"/>
        <w:numPr>
          <w:ilvl w:val="0"/>
          <w:numId w:val="0"/>
        </w:numPr>
        <w:spacing w:line="360" w:lineRule="auto"/>
        <w:jc w:val="both"/>
        <w:rPr>
          <w:rFonts w:hint="eastAsia" w:ascii="仿宋" w:hAnsi="仿宋" w:eastAsia="仿宋" w:cs="仿宋"/>
          <w:color w:val="auto"/>
          <w:sz w:val="24"/>
          <w:szCs w:val="24"/>
        </w:rPr>
      </w:pPr>
    </w:p>
    <w:p>
      <w:pPr>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pPr>
        <w:widowControl w:val="0"/>
        <w:numPr>
          <w:ilvl w:val="0"/>
          <w:numId w:val="0"/>
        </w:numPr>
        <w:spacing w:line="360" w:lineRule="auto"/>
        <w:jc w:val="both"/>
        <w:rPr>
          <w:rFonts w:hint="eastAsia" w:ascii="仿宋" w:hAnsi="仿宋" w:eastAsia="仿宋" w:cs="仿宋"/>
          <w:b/>
          <w:bCs/>
          <w:color w:val="auto"/>
          <w:sz w:val="28"/>
          <w:szCs w:val="28"/>
        </w:rPr>
      </w:pPr>
      <w:r>
        <w:rPr>
          <w:rFonts w:hint="eastAsia" w:ascii="仿宋" w:hAnsi="仿宋" w:eastAsia="仿宋" w:cs="仿宋"/>
          <w:b/>
          <w:bCs/>
          <w:color w:val="auto"/>
          <w:sz w:val="28"/>
          <w:szCs w:val="28"/>
        </w:rPr>
        <w:t>附件2</w:t>
      </w:r>
    </w:p>
    <w:p>
      <w:pPr>
        <w:widowControl w:val="0"/>
        <w:numPr>
          <w:ilvl w:val="0"/>
          <w:numId w:val="0"/>
        </w:numPr>
        <w:spacing w:line="360" w:lineRule="auto"/>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广州市城市管理和综合执法局关于开展生活垃圾压缩站</w:t>
      </w:r>
    </w:p>
    <w:p>
      <w:pPr>
        <w:widowControl w:val="0"/>
        <w:numPr>
          <w:ilvl w:val="0"/>
          <w:numId w:val="0"/>
        </w:num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日常巡查督导工作的通知</w:t>
      </w:r>
    </w:p>
    <w:p>
      <w:pPr>
        <w:widowControl w:val="0"/>
        <w:numPr>
          <w:ilvl w:val="0"/>
          <w:numId w:val="0"/>
        </w:numPr>
        <w:spacing w:line="360" w:lineRule="auto"/>
        <w:jc w:val="both"/>
        <w:rPr>
          <w:rFonts w:hint="eastAsia" w:ascii="仿宋" w:hAnsi="仿宋" w:eastAsia="仿宋" w:cs="仿宋"/>
          <w:color w:val="auto"/>
          <w:sz w:val="24"/>
          <w:szCs w:val="24"/>
        </w:rPr>
      </w:pPr>
      <w:r>
        <w:rPr>
          <w:rFonts w:hint="eastAsia" w:ascii="仿宋" w:hAnsi="仿宋" w:eastAsia="仿宋" w:cs="仿宋"/>
          <w:color w:val="auto"/>
          <w:sz w:val="24"/>
          <w:szCs w:val="24"/>
        </w:rPr>
        <w:t>各区城市管理和综合执法局（南沙区城市管理局）：</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为深入贯彻落实习近平生态文明思想和习近平总书记关于生活垃圾分类系列重要指示批示精神，进一步提高生活垃圾分类全链条工作的认识，结合生活垃圾压缩站及周边环境治理工作，着力解决生活垃圾压缩站管理不规范、监管能力薄弱等突出问题，从即日开始，我局牵头组织开展生活垃圾压缩站巡查督导工作。现将有关事项明确如下：</w:t>
      </w:r>
    </w:p>
    <w:p>
      <w:pPr>
        <w:widowControl w:val="0"/>
        <w:numPr>
          <w:ilvl w:val="0"/>
          <w:numId w:val="15"/>
        </w:numPr>
        <w:spacing w:line="360" w:lineRule="auto"/>
        <w:ind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工作目的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通过开展生活垃圾压缩站日常巡查督导工作，贯彻《广州市生活垃圾分类管理条例》和《广州市城市管理专用作业车辆和设备管理办法》（穗城管规字〔2018〕7号），进一步规范全市生活垃圾收运管理秩序，规范运营单位运输作业行为，按照“三化四分类”的总要求，加强区、街（镇）生活垃圾压缩站及周边环境治理工作；健全生活垃圾压缩站环境卫生、分类收运管理机制，提高监管能力，着力解决压缩站及周边环境卫生、混收混装混运等环节存在的突出问题，推动全市垃圾压缩站技术改造，形成“以检查促管理、以管理促规范、以规范促提升”的工作机制，推动广州生活垃圾分类工作持续走在全国前列。</w:t>
      </w:r>
    </w:p>
    <w:p>
      <w:pPr>
        <w:widowControl w:val="0"/>
        <w:numPr>
          <w:ilvl w:val="0"/>
          <w:numId w:val="15"/>
        </w:numPr>
        <w:spacing w:line="360" w:lineRule="auto"/>
        <w:ind w:left="0" w:leftChars="0"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巡查督导重点内容 </w:t>
      </w:r>
    </w:p>
    <w:p>
      <w:pPr>
        <w:widowControl w:val="0"/>
        <w:numPr>
          <w:ilvl w:val="0"/>
          <w:numId w:val="0"/>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针对当前生活垃圾压缩站存在的突出问题，重点督导和整治以下几方面内容：</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压缩站内外环境卫生问题。</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压缩站管理秩序问题。</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压缩站车辆及设备“跑、冒、滴、漏”问题。</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压缩站设备管养及操作问题。</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压缩站工作环境（异味臭气和噪音扰民）及污水排放问题。</w:t>
      </w:r>
    </w:p>
    <w:p>
      <w:pPr>
        <w:widowControl w:val="0"/>
        <w:numPr>
          <w:ilvl w:val="0"/>
          <w:numId w:val="16"/>
        </w:numPr>
        <w:spacing w:line="360" w:lineRule="auto"/>
        <w:ind w:left="239" w:leftChars="114" w:firstLine="240" w:firstLineChars="100"/>
        <w:jc w:val="both"/>
        <w:rPr>
          <w:rFonts w:hint="eastAsia" w:ascii="仿宋" w:hAnsi="仿宋" w:eastAsia="仿宋" w:cs="仿宋"/>
          <w:color w:val="auto"/>
          <w:sz w:val="24"/>
          <w:szCs w:val="24"/>
        </w:rPr>
      </w:pPr>
      <w:r>
        <w:rPr>
          <w:rFonts w:hint="eastAsia" w:ascii="仿宋" w:hAnsi="仿宋" w:eastAsia="仿宋" w:cs="仿宋"/>
          <w:color w:val="auto"/>
          <w:sz w:val="24"/>
          <w:szCs w:val="24"/>
        </w:rPr>
        <w:t>压缩站未建立健全台账问题。</w:t>
      </w:r>
    </w:p>
    <w:p>
      <w:pPr>
        <w:widowControl w:val="0"/>
        <w:numPr>
          <w:ilvl w:val="0"/>
          <w:numId w:val="15"/>
        </w:numPr>
        <w:spacing w:line="360" w:lineRule="auto"/>
        <w:ind w:left="0" w:leftChars="0"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责任分工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市城市管理和综合执法局组织专业检查人员开展全市生活垃圾压缩站日常巡查督导工作。区城市管和综合执法局环卫科负责落实属地监管责任，督促生活垃圾压缩站业主单位整改检查中发现的存在问题。</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生活垃圾压缩站业主单位负责履行管理主体责任，加强作业过程监管，落实压缩站日常维护管养，规范垃圾收运作业，建立健全环境卫生管理机制。</w:t>
      </w:r>
    </w:p>
    <w:p>
      <w:pPr>
        <w:widowControl w:val="0"/>
        <w:numPr>
          <w:ilvl w:val="0"/>
          <w:numId w:val="15"/>
        </w:numPr>
        <w:spacing w:line="360" w:lineRule="auto"/>
        <w:ind w:left="0" w:leftChars="0"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检查方式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建立“周自检、月抽查、季循环、全覆盖”的工作机制，从压缩站环境治理、作业秩序、防“跑、冒、滴、漏”功能性检查</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专用功能运行状况、污水排放及工作环境质量、管理台账等六个方面，共32项指标，进行全方位的检查评价</w:t>
      </w:r>
      <w:r>
        <w:rPr>
          <w:rFonts w:hint="eastAsia" w:ascii="仿宋" w:hAnsi="仿宋" w:eastAsia="仿宋" w:cs="仿宋"/>
          <w:color w:val="auto"/>
          <w:sz w:val="24"/>
          <w:szCs w:val="24"/>
          <w:lang w:eastAsia="zh-CN"/>
        </w:rPr>
        <w:t>。</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周自检：由各区生活垃圾压缩站管理人员或属地管理单位、部门按照周自检的检查内容及要求进行自行检查，并填写好压缩站日常管理相关记录，形成台账资料在季度检查中备查，并及时更新上报压缩站统计信息清单。</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月抽查：由市城管局组织人员每月根据现有压缩站总数（约300座）的40%（120座次）进行抽查，按月度抽查的检查内容及要求进行检查。</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季普查：由市城管局组织人员根据现有压缩站总数（约300座）进行每三个月检查一次，按季度检查的检查内容及要求进行全面检查。</w:t>
      </w:r>
    </w:p>
    <w:p>
      <w:pPr>
        <w:widowControl w:val="0"/>
        <w:numPr>
          <w:ilvl w:val="0"/>
          <w:numId w:val="15"/>
        </w:numPr>
        <w:spacing w:line="360" w:lineRule="auto"/>
        <w:ind w:left="0" w:leftChars="0"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检查内容 </w:t>
      </w:r>
    </w:p>
    <w:p>
      <w:pPr>
        <w:widowControl w:val="0"/>
        <w:numPr>
          <w:ilvl w:val="0"/>
          <w:numId w:val="17"/>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周自检：</w:t>
      </w:r>
    </w:p>
    <w:p>
      <w:pPr>
        <w:widowControl w:val="0"/>
        <w:numPr>
          <w:ilvl w:val="0"/>
          <w:numId w:val="18"/>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 xml:space="preserve">压缩站硬件设施 </w:t>
      </w:r>
    </w:p>
    <w:p>
      <w:pPr>
        <w:widowControl w:val="0"/>
        <w:numPr>
          <w:ilvl w:val="0"/>
          <w:numId w:val="1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主体设施：压缩站是否配套压缩设备或压缩转运车；压缩站主体设施及容器是否封闭；道路符合有关要求，满足车辆负荷和通行要求，道路宽度、转弯半径与承载能力等是否满足最大转运车辆满载运行的要求。</w:t>
      </w:r>
    </w:p>
    <w:p>
      <w:pPr>
        <w:widowControl w:val="0"/>
        <w:numPr>
          <w:ilvl w:val="0"/>
          <w:numId w:val="1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配套设施：压缩站作业区域是否配套供水、供电系统和照明设施；排水系统要雨污分流，是否达到要求。</w:t>
      </w:r>
    </w:p>
    <w:p>
      <w:pPr>
        <w:widowControl w:val="0"/>
        <w:numPr>
          <w:ilvl w:val="0"/>
          <w:numId w:val="1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设备作业系统：压缩设备是否具有封闭卸料、填装压实(压缩)、装箱启运等功能；是否设有联动或限位装置、锁紧或限位装置；压缩设备各接口连接配合是否良好；液压设备连接是否牢固、工作可靠。</w:t>
      </w:r>
    </w:p>
    <w:p>
      <w:pPr>
        <w:widowControl w:val="0"/>
        <w:numPr>
          <w:ilvl w:val="0"/>
          <w:numId w:val="19"/>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污染控制设备与设施配置：是否配套建设通风、降尘、除臭、降噪设施；是否采取有效污水处理措施。</w:t>
      </w:r>
    </w:p>
    <w:p>
      <w:pPr>
        <w:widowControl w:val="0"/>
        <w:numPr>
          <w:ilvl w:val="0"/>
          <w:numId w:val="1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站内运行管理</w:t>
      </w:r>
    </w:p>
    <w:p>
      <w:pPr>
        <w:widowControl w:val="0"/>
        <w:numPr>
          <w:ilvl w:val="0"/>
          <w:numId w:val="2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收集和运输作业：收集、转运车辆和压缩站设施是否配套；转运车辆型号和载重量满足转运作业要求,是否密闭运输并保持车况良</w:t>
      </w:r>
      <w:r>
        <w:rPr>
          <w:rFonts w:hint="eastAsia" w:ascii="仿宋" w:hAnsi="仿宋" w:eastAsia="仿宋" w:cs="仿宋"/>
          <w:color w:val="auto"/>
          <w:sz w:val="24"/>
          <w:szCs w:val="24"/>
          <w:lang w:val="en-US" w:eastAsia="zh-CN"/>
        </w:rPr>
        <w:t>好</w:t>
      </w:r>
      <w:r>
        <w:rPr>
          <w:rFonts w:hint="eastAsia" w:ascii="仿宋" w:hAnsi="仿宋" w:eastAsia="仿宋" w:cs="仿宋"/>
          <w:color w:val="auto"/>
          <w:sz w:val="24"/>
          <w:szCs w:val="24"/>
        </w:rPr>
        <w:t>。</w:t>
      </w:r>
    </w:p>
    <w:p>
      <w:pPr>
        <w:widowControl w:val="0"/>
        <w:numPr>
          <w:ilvl w:val="0"/>
          <w:numId w:val="2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站内转运作业：垃圾卸车、压实(压缩)、装车过程是否按照操作规程执行且作业规范；是否有应对垃圾转运高峰和紧急状况的措施；有非生活垃圾混入，是否能及时处理；站内转运车辆和操作人员工作秩序是否良好，无“喧哗”、“吵闹”现场发生。</w:t>
      </w:r>
    </w:p>
    <w:p>
      <w:pPr>
        <w:widowControl w:val="0"/>
        <w:numPr>
          <w:ilvl w:val="0"/>
          <w:numId w:val="2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站区清理消杀：进站垃圾是否能做到日产日清，不堆积过夜；作业现场消杀(蚊、蝇、鼠等)措施是否有效；站区地面应及时冲洗、清理，地面是否脏乱。</w:t>
      </w:r>
    </w:p>
    <w:p>
      <w:pPr>
        <w:widowControl w:val="0"/>
        <w:numPr>
          <w:ilvl w:val="0"/>
          <w:numId w:val="2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运行管理：压缩站管理架构是否健全，应安排专人管理；管理人员和操作人员是否持证上岗，熟悉运行管理要求和设施操作规程；有运行作业手册及设备操作维护保养手册，规章制度和岗位职责明确、健全，实施是否到位；场内标识标牌（包括场地标识、设备标识、安全标识）是否齐全、规范。</w:t>
      </w:r>
    </w:p>
    <w:p>
      <w:pPr>
        <w:widowControl w:val="0"/>
        <w:numPr>
          <w:ilvl w:val="0"/>
          <w:numId w:val="2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应急处理：生活垃圾压缩站有紧急突发情况发生，是否具备有效的应急处置预案或措施。</w:t>
      </w:r>
    </w:p>
    <w:p>
      <w:pPr>
        <w:widowControl w:val="0"/>
        <w:numPr>
          <w:ilvl w:val="0"/>
          <w:numId w:val="1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 xml:space="preserve">污染防控 </w:t>
      </w:r>
    </w:p>
    <w:p>
      <w:pPr>
        <w:widowControl w:val="0"/>
        <w:numPr>
          <w:ilvl w:val="0"/>
          <w:numId w:val="21"/>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站内污染控制：站内进行全面污染控制，降噪、通风、降尘、除臭等污染控制效果是否良好。</w:t>
      </w:r>
    </w:p>
    <w:p>
      <w:pPr>
        <w:widowControl w:val="0"/>
        <w:numPr>
          <w:ilvl w:val="0"/>
          <w:numId w:val="21"/>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污水处理：站内污水接驳市政污水管网的，排污渠道是否畅通；排污渠道是否合理遮盖；是否建有沉沙池、隔油池或化粪池；未接驳市政污水管网的，是否建有污水收集池，配备污水收集车，定期将污水运输到市污水厂处理；出站转运车辆和垃圾桶站内清洗污水是否流入周边明渠（含下水道等非污水管网）。</w:t>
      </w:r>
    </w:p>
    <w:p>
      <w:pPr>
        <w:widowControl w:val="0"/>
        <w:numPr>
          <w:ilvl w:val="0"/>
          <w:numId w:val="21"/>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环境监测：除臭设施是否配备并正常使用，需明确是否配备除臭设施，如有配备的应注明是否“正常使用”或“故障”或“未使用”；压缩站设备运作时或在正常运营时间内是否噪音扰民现象，噪音值是否超过额定数值。</w:t>
      </w:r>
    </w:p>
    <w:p>
      <w:pPr>
        <w:widowControl w:val="0"/>
        <w:numPr>
          <w:ilvl w:val="0"/>
          <w:numId w:val="1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劳动安全与卫生管理</w:t>
      </w:r>
    </w:p>
    <w:p>
      <w:pPr>
        <w:widowControl w:val="0"/>
        <w:numPr>
          <w:ilvl w:val="0"/>
          <w:numId w:val="2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劳动安全：压缩站的卸料平台等重要和危险位置是否设立醒目的标牌或标志；机械设备的旋转件、启闭装置等零部件是否设置防护罩或警示标志；填装、起吊、倒车等工序的相关设施、设备上是否设置警示标志、警报装置；站内是否配备劳动保护用具、用品和专用设施。</w:t>
      </w:r>
    </w:p>
    <w:p>
      <w:pPr>
        <w:widowControl w:val="0"/>
        <w:numPr>
          <w:ilvl w:val="0"/>
          <w:numId w:val="22"/>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卫生管理：站内应做好卫生防疫工作，是否采取防虫、灭虫、消毒等措施；作业完毕应及时冲洗站区地面，确保地面无垃圾、无污水、无杂物乱堆放、无油（污）迹；定期开展站内卫生清洁工作，确保墙面无污迹、无乱张贴、乱拉挂、天花无蜘蛛网和设备外表无灰尘、无锈蚀、无损坏现象等。</w:t>
      </w:r>
    </w:p>
    <w:p>
      <w:pPr>
        <w:widowControl w:val="0"/>
        <w:numPr>
          <w:ilvl w:val="0"/>
          <w:numId w:val="18"/>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维护保养管理台账</w:t>
      </w:r>
    </w:p>
    <w:p>
      <w:pPr>
        <w:widowControl w:val="0"/>
        <w:numPr>
          <w:ilvl w:val="0"/>
          <w:numId w:val="2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维护保养：压缩站内各种机械设备应进行日常维护保养，是否按照有关规定进行大、中、小修并有相关维修记录，各种机械设备达到使用年限必须进行报废。</w:t>
      </w:r>
    </w:p>
    <w:p>
      <w:pPr>
        <w:widowControl w:val="0"/>
        <w:numPr>
          <w:ilvl w:val="0"/>
          <w:numId w:val="23"/>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管理台账：压缩站内是否有相关运行管理记录台账（垃圾量日、月、年记录；掌握日污水产生量及数量；作业日记；燃油料消耗记录；车辆和设备运行维护记录；每日进站车辆数量和出站箱数；事故及其处理记录；消杀记录；管理手册等）。</w:t>
      </w:r>
    </w:p>
    <w:p>
      <w:pPr>
        <w:widowControl w:val="0"/>
        <w:numPr>
          <w:ilvl w:val="0"/>
          <w:numId w:val="17"/>
        </w:numPr>
        <w:spacing w:line="360" w:lineRule="auto"/>
        <w:ind w:left="0"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月抽查、季普查：</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根据《广州市城市管理专用作业车辆和设备管理办法》第十一条的检查内容进行月度抽查、季度检查。主要检查内容有：</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压缩站环境治理：压缩站显眼处应设有标识牌，内容标准：压缩站名称、管理单位、责任人、联系电话、投诉电话；尺寸大小为：80cm*60cm；保持站内外卫生清扫保洁工作，无垃圾撒落和污水遍地问题发生，保持站内外环境卫生干净整洁；进入压缩站车辆，车容车貌要整洁，按规定及时清洗消毒，塑料垃圾桶保持外观整洁方可离站；压缩站内地面应保持平整，无明显的龟裂现象；墙面无污迹、门窗无破损、天花无蜘蛛网，墙面无乱张贴、乱拉挂现象；积极做好设备保养，应保持整洁，无锈迹、污垢、积尘；警告、警示标识、操作指 示标识应完好齐全。</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作业秩序：操作人员规范操作设备，对进站内的垃圾进行装填和压缩作业；作业人员应分类收集、运输生活垃圾；大件垃圾应破碎后才能压缩，不能压缩非城市生活垃圾；垃圾收集车辆应服从指挥、有序等候、排队进站、文明作业，装卸垃圾桶应轻拿轻放，不能在站内喧哗、吵闹。</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3.防“跑、冒、滴、漏”功能性检查：工作现场应设有冲洗设备，应具备相应清洗功能；压缩机防尘罩应保持完好，功能正常；压缩机排水装置应无明显损坏，功能正常；压缩站车厢载垃圾前必须把排污口打开，尽量排尽压缩过程中产生的污水；压缩装填完成后，确保排污口全部关闭、阀门密闭无滴漏、厢体外无吊挂垃圾，车身整洁再上路。</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4.专用功能运行状况：电控系统工作正常；各锁定装置应运行正常（锁定装置包括：插板，挡板，抱钩或锁拉钩，底盘插销）；举升装置应运行正常无损坏；液压系统最高压力应在设定的额定值范围内，功能正常；液压油箱内油位高度位于液位计1/2-2/3；液压系统和机械部件应运行稳定无异响；各关键部位的润滑系、液压系统应无漏油。</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5.污水排放、工作环境质量：压缩站污水收集系统应保持完好；排污渠道内无污泥沉积和杂物；站内污水口无木板和其他物品盖住；压缩站应设有降噪、通风、降尘、除臭等设施，防止臭气、噪音扰民现象发生（在站门口测量现场噪声，工作时噪声值≤70分贝）；定期组织站内消杀，确保站内无蚊、蝇、蟑螂、老鼠；出站车辆（包括手推车、翻斗车、垃圾运输车）和垃圾桶均要在站内清洗。</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6.管理台账：车辆和设备运行维护记录；压缩站管理台账包括：每日进站的车辆数量和出站厢数登记的台账、生活垃圾日压缩转运量登记本、四害消杀记录台账、周自检记录。</w:t>
      </w:r>
    </w:p>
    <w:p>
      <w:pPr>
        <w:widowControl w:val="0"/>
        <w:numPr>
          <w:ilvl w:val="0"/>
          <w:numId w:val="0"/>
        </w:numPr>
        <w:spacing w:line="360" w:lineRule="auto"/>
        <w:ind w:firstLine="482" w:firstLineChars="200"/>
        <w:jc w:val="both"/>
        <w:rPr>
          <w:rFonts w:hint="eastAsia" w:ascii="仿宋" w:hAnsi="仿宋" w:eastAsia="仿宋" w:cs="仿宋"/>
          <w:color w:val="auto"/>
          <w:sz w:val="24"/>
          <w:szCs w:val="24"/>
        </w:rPr>
      </w:pPr>
      <w:r>
        <w:rPr>
          <w:rFonts w:hint="eastAsia" w:ascii="仿宋" w:hAnsi="仿宋" w:eastAsia="仿宋" w:cs="仿宋"/>
          <w:b/>
          <w:bCs/>
          <w:color w:val="auto"/>
          <w:sz w:val="24"/>
          <w:szCs w:val="24"/>
        </w:rPr>
        <w:t>六、整改措施</w:t>
      </w:r>
      <w:r>
        <w:rPr>
          <w:rFonts w:hint="eastAsia" w:ascii="仿宋" w:hAnsi="仿宋" w:eastAsia="仿宋" w:cs="仿宋"/>
          <w:color w:val="auto"/>
          <w:sz w:val="24"/>
          <w:szCs w:val="24"/>
        </w:rPr>
        <w:t xml:space="preserve">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1.月度抽查：对于现场发现的问题，按照属地管理原则向所属区城管局发出《生活垃圾压缩站整改通知书》。对于需整改的事项，区城管局须在5个工作日内督促作业单位落实整改措施，并向市城市管理和综合执法局（环卫处）书面反馈整改情况。</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2.季度检查：对于开具的检查报告有不符合项目描述的且判定不合格，作业单位必须按照检查组给出的期限内完成整改，并对所提不符合项制定整改措施并予以实施，检查组对整改措施计划的可行性及整改措施证实资料进行评价并在下次现场审核时跟踪验证实施的有效性。</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3.每周将生活垃圾压缩站检查到的问题在《城市管理专用车辆和设备定期检查工作周报》中反馈，每月、每季度将生活垃圾压缩站月度抽查、季度检查情况在《广州市环境卫生作业质量监测情况通报》上进行通报。</w:t>
      </w:r>
    </w:p>
    <w:p>
      <w:pPr>
        <w:widowControl w:val="0"/>
        <w:numPr>
          <w:ilvl w:val="0"/>
          <w:numId w:val="0"/>
        </w:numPr>
        <w:spacing w:line="360" w:lineRule="auto"/>
        <w:ind w:firstLine="482" w:firstLineChars="20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七、工作要求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一）提高政治站位，加强组织领导。开展生活垃圾压缩站日常巡查督导工作，是维护城市管理秩序的重要工作，是衔接垃圾端前分类和后端处置的中间环节，是生活垃圾分类工作取得实效的具体体现，各区、各部门要充分认识生活垃圾压缩站及周边环境治理的重要性、紧迫性和艰巨性，加强对治理工作的组织领导，针对检查中发现的问题及时研究解决，真正把各项整治工作措施落到实处。</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二）重视评价结果，加大整治力度。开展生活垃圾压缩站（点）日常巡查督导工作与城市管理考核评估工作息息相关，检查反馈的问题和整改处理结果直接与每年的环卫设备设施采购分配工作挂钩，与每季度的城市管理综合考评结果挂钩，各区务必重视。</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三）巩固整治成效，建立长效机制。整治是手段，巩固才是目的。各区要充分利用整治成效，打牢基础，加大投入，积极应用新技术、新设备，从臭气、污水、噪音、周边环境等方面整治入手，建立常态化管理工作机制，形成全面、系统、长效的生活垃圾分类体系，提高压缩站的管养水平，进一步巩固治理工作成果，努力实现生活垃圾压缩站卫生整洁、布局合理、达标排放、管理规范的工作目标。</w:t>
      </w:r>
    </w:p>
    <w:p>
      <w:pPr>
        <w:widowControl w:val="0"/>
        <w:numPr>
          <w:ilvl w:val="0"/>
          <w:numId w:val="0"/>
        </w:numPr>
        <w:spacing w:line="360" w:lineRule="auto"/>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广州市城市管理和综合执法局</w:t>
      </w:r>
    </w:p>
    <w:p>
      <w:pPr>
        <w:widowControl w:val="0"/>
        <w:numPr>
          <w:ilvl w:val="0"/>
          <w:numId w:val="0"/>
        </w:numPr>
        <w:spacing w:line="360" w:lineRule="auto"/>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2019 年 9 月 25 日</w:t>
      </w:r>
    </w:p>
    <w:p>
      <w:pPr>
        <w:widowControl w:val="0"/>
        <w:numPr>
          <w:ilvl w:val="0"/>
          <w:numId w:val="0"/>
        </w:numPr>
        <w:spacing w:line="360" w:lineRule="auto"/>
        <w:jc w:val="both"/>
        <w:rPr>
          <w:rFonts w:hint="eastAsia" w:ascii="仿宋" w:hAnsi="仿宋" w:eastAsia="仿宋" w:cs="仿宋"/>
          <w:color w:val="auto"/>
          <w:sz w:val="24"/>
          <w:szCs w:val="24"/>
        </w:rPr>
      </w:pPr>
    </w:p>
    <w:p>
      <w:pPr>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pPr>
        <w:widowControl w:val="0"/>
        <w:numPr>
          <w:ilvl w:val="0"/>
          <w:numId w:val="0"/>
        </w:numPr>
        <w:spacing w:line="360" w:lineRule="auto"/>
        <w:jc w:val="both"/>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附件3</w:t>
      </w:r>
    </w:p>
    <w:p>
      <w:pPr>
        <w:widowControl w:val="0"/>
        <w:numPr>
          <w:ilvl w:val="0"/>
          <w:numId w:val="0"/>
        </w:numPr>
        <w:spacing w:line="360" w:lineRule="auto"/>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 xml:space="preserve">广州市环卫精细化作业和管理指引 </w:t>
      </w:r>
    </w:p>
    <w:p>
      <w:pPr>
        <w:widowControl w:val="0"/>
        <w:numPr>
          <w:ilvl w:val="0"/>
          <w:numId w:val="0"/>
        </w:num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部分条文（试行）</w:t>
      </w:r>
    </w:p>
    <w:p>
      <w:pPr>
        <w:widowControl w:val="0"/>
        <w:numPr>
          <w:ilvl w:val="0"/>
          <w:numId w:val="0"/>
        </w:num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广州市城市管理和综合执法局</w:t>
      </w:r>
    </w:p>
    <w:p>
      <w:pPr>
        <w:widowControl w:val="0"/>
        <w:numPr>
          <w:ilvl w:val="0"/>
          <w:numId w:val="0"/>
        </w:num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2021 年 1 月</w:t>
      </w:r>
    </w:p>
    <w:p>
      <w:pPr>
        <w:widowControl w:val="0"/>
        <w:numPr>
          <w:ilvl w:val="0"/>
          <w:numId w:val="24"/>
        </w:num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 xml:space="preserve">前言 </w:t>
      </w:r>
    </w:p>
    <w:p>
      <w:pPr>
        <w:widowControl w:val="0"/>
        <w:numPr>
          <w:ilvl w:val="0"/>
          <w:numId w:val="0"/>
        </w:numPr>
        <w:spacing w:line="360" w:lineRule="auto"/>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城市环境卫生是城市管理的重点工作之一，是城市管理水平提升和居民生活质量提高最直观、最直接的标志之一。随着城市规模的扩大、城市内涵的丰富和人民群众对于人居环境质量要求的提高，环卫行业原有的粗放型管理模式已经不适应新形式的需要，必须通过全面推行精细化管理，建立起全域覆盖、无缝隙管理、高质量保洁的长效管理体制，彻底消除卫生死角和管理盲区，整体提高环境卫生管理水平，才能不断满足人民群众日益增长的市容环境卫生需求，提高人民群众的获得感和幸福感。为全面提升本市环境卫生管理水平，强力推进城市环境卫生工作迈上新台阶，给人民群众打造更加干净、整洁、平安、有序的城市人居环境，特制定本指引。</w:t>
      </w:r>
    </w:p>
    <w:p>
      <w:pPr>
        <w:widowControl w:val="0"/>
        <w:numPr>
          <w:ilvl w:val="0"/>
          <w:numId w:val="24"/>
        </w:numPr>
        <w:spacing w:line="360" w:lineRule="auto"/>
        <w:ind w:left="0" w:leftChars="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适用范围</w:t>
      </w:r>
    </w:p>
    <w:p>
      <w:pPr>
        <w:widowControl w:val="0"/>
        <w:numPr>
          <w:ilvl w:val="0"/>
          <w:numId w:val="0"/>
        </w:numPr>
        <w:spacing w:line="360" w:lineRule="auto"/>
        <w:ind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指引适用于广州市行政区划内所有陆域环卫作业单位，适用于广州市行政区划陆域范围内的环卫精细化作业和管理，包括车行道、人行道、车行隧道、人行隧道、高架路、人行天桥、商业步行街、内街内巷、城中村道路、公共广场公共、绿地、绿化带的清扫保洁和交通护栏清洗，环卫公厕、垃圾压缩站、环卫停车场、临时收运点、环卫工具房、垃圾收集容器等环卫设施运行管理以及生活垃圾、餐厨垃圾、粪污、动物尸骸等垃圾分类收运等环卫工作。</w:t>
      </w:r>
    </w:p>
    <w:p>
      <w:pPr>
        <w:widowControl w:val="0"/>
        <w:numPr>
          <w:ilvl w:val="0"/>
          <w:numId w:val="0"/>
        </w:numPr>
        <w:spacing w:line="360" w:lineRule="auto"/>
        <w:ind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指引中有关特级、一、二、三、四级道路划定方法参考《广州市环境卫生作业规范》（试行），城中村、农村的道路保洁参照四级道路精细化作业标准实施。下一步结合市交通部门的《广州市道路明细清单》（2020），出台具体的各级道路清单。</w:t>
      </w:r>
    </w:p>
    <w:p>
      <w:pPr>
        <w:widowControl w:val="0"/>
        <w:numPr>
          <w:ilvl w:val="0"/>
          <w:numId w:val="0"/>
        </w:numPr>
        <w:spacing w:line="360" w:lineRule="auto"/>
        <w:ind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本指引中所涉作业规范和操作规程具体由《广州市环境卫生作业规范》（试行）规定。</w:t>
      </w:r>
    </w:p>
    <w:p>
      <w:pPr>
        <w:widowControl w:val="0"/>
        <w:numPr>
          <w:ilvl w:val="0"/>
          <w:numId w:val="0"/>
        </w:numPr>
        <w:spacing w:line="360" w:lineRule="auto"/>
        <w:ind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本指引中压缩站作业和管理相关条文:</w:t>
      </w:r>
    </w:p>
    <w:p>
      <w:pPr>
        <w:widowControl w:val="0"/>
        <w:numPr>
          <w:ilvl w:val="0"/>
          <w:numId w:val="0"/>
        </w:numPr>
        <w:spacing w:line="360" w:lineRule="auto"/>
        <w:ind w:left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 xml:space="preserve">第四章 </w:t>
      </w:r>
      <w:r>
        <w:rPr>
          <w:rFonts w:hint="eastAsia" w:ascii="仿宋" w:hAnsi="仿宋" w:eastAsia="仿宋" w:cs="仿宋"/>
          <w:b/>
          <w:bCs/>
          <w:color w:val="auto"/>
          <w:sz w:val="24"/>
          <w:szCs w:val="24"/>
        </w:rPr>
        <w:t>环卫设施精细化作业和管理</w:t>
      </w:r>
    </w:p>
    <w:p>
      <w:pPr>
        <w:widowControl w:val="0"/>
        <w:numPr>
          <w:ilvl w:val="0"/>
          <w:numId w:val="0"/>
        </w:numPr>
        <w:spacing w:line="360" w:lineRule="auto"/>
        <w:ind w:leftChars="0"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4.3环卫设施精细化作业和管理</w:t>
      </w:r>
    </w:p>
    <w:p>
      <w:pPr>
        <w:widowControl w:val="0"/>
        <w:numPr>
          <w:ilvl w:val="0"/>
          <w:numId w:val="0"/>
        </w:numPr>
        <w:spacing w:line="360" w:lineRule="auto"/>
        <w:ind w:leftChars="0" w:firstLine="720" w:firstLineChars="300"/>
        <w:jc w:val="both"/>
        <w:rPr>
          <w:rFonts w:hint="eastAsia" w:ascii="仿宋" w:hAnsi="仿宋" w:eastAsia="仿宋" w:cs="仿宋"/>
          <w:color w:val="auto"/>
          <w:sz w:val="24"/>
          <w:szCs w:val="24"/>
        </w:rPr>
      </w:pPr>
      <w:r>
        <w:rPr>
          <w:rFonts w:hint="eastAsia" w:ascii="仿宋" w:hAnsi="仿宋" w:eastAsia="仿宋" w:cs="仿宋"/>
          <w:color w:val="auto"/>
          <w:sz w:val="24"/>
          <w:szCs w:val="24"/>
        </w:rPr>
        <w:t>4.3.1环卫设施精细化作业内容和要求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6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环卫设施名称</w:t>
            </w:r>
          </w:p>
        </w:tc>
        <w:tc>
          <w:tcPr>
            <w:tcW w:w="6753"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精细化作业内容和要求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vAlign w:val="center"/>
          </w:tcPr>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压缩站</w:t>
            </w:r>
          </w:p>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（转运站）</w:t>
            </w:r>
          </w:p>
        </w:tc>
        <w:tc>
          <w:tcPr>
            <w:tcW w:w="6753" w:type="dxa"/>
          </w:tcPr>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1.开工前，严格按照操作规范要求对设备的安全性和可靠性进行全面检查，每班1次；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2.在装填垃圾作业时，严格检查垃圾成分，严禁将危险废物、违禁废物和大件垃圾倒进料斗，严禁压缩非城市生活垃圾；</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3.垃圾卸载完毕后，垃圾收集车辆在驶离压缩站前，用高压水枪将车身和其所携载的垃圾桶进冲洗干净后方可离站；</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4.垃圾装填完毕后，垃圾运输车辆驶离压缩站前须将污水箱内污水排放干净，关闭排污阀，密闭箱体，用高压水枪将车身冲洗干净后方可离站，并在车辆驶离压缩站后及时清扫地面散落垃圾；</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5.每班次作业完毕，对压缩站内外进行全面清扫，对压缩设备箱内的垃圾进行全面清理，用高压水枪对站内外地面、垃圾压缩箱、料斗、翻桶架等设备进行全面冲洗，并对上述部位进行全面喷洒消毒，每班1次；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6.定期组织开展站内外“四害”消杀工作，确保站内无蚊、蝇、蟑螂、老鼠，每周2次；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7.定期对空气净化设备和污水沉淀池进行检查清理，并做好消毒杀菌工作，每周1次；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8.定期对站内给水、排污、照明、电气、压缩等设施设备进行全面检查、维护和保养，在活动部位加注润滑油，确保设备正常、安全运行，每周1次；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kern w:val="0"/>
                <w:sz w:val="24"/>
                <w:szCs w:val="24"/>
                <w:lang w:val="en-US" w:eastAsia="zh-CN" w:bidi="ar"/>
              </w:rPr>
              <w:t>9.定期开展站内整修工作，全面清除墙面污迹、乱张贴、天花蜘蛛网以及设备外表的锈蚀，并对锈蚀部位刷漆，每月不少于1次；</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kern w:val="0"/>
                <w:sz w:val="24"/>
                <w:szCs w:val="24"/>
                <w:lang w:val="en-US" w:eastAsia="zh-CN" w:bidi="ar"/>
              </w:rPr>
              <w:t>10.定期组织对噪音、臭气、污水达标排放检测，每年2次。压缩站作业时间：7:00～12:00，14:00～21:00，可根据实际需要在不影响市民的前提下适当延长作业时间。</w:t>
            </w:r>
          </w:p>
        </w:tc>
      </w:tr>
    </w:tbl>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在上表各作业事项中，除已标明作业时间的事项外，其他事项作业时间为：9：00～12:00、14:00～17:00。</w:t>
      </w:r>
    </w:p>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4.3.2环卫设施精细化作业和管理规定</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6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环卫设施名称</w:t>
            </w:r>
          </w:p>
        </w:tc>
        <w:tc>
          <w:tcPr>
            <w:tcW w:w="6753"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精细化作业内容和要求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vAlign w:val="center"/>
          </w:tcPr>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压缩站</w:t>
            </w:r>
          </w:p>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（转运站）</w:t>
            </w:r>
          </w:p>
        </w:tc>
        <w:tc>
          <w:tcPr>
            <w:tcW w:w="6753" w:type="dxa"/>
          </w:tcPr>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1.每座压缩站应配备1名管理人员，并按每箱设置1名操作人员的原则，配备相应数量的操作人员；</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管理人员和操作人员必须经过严格培训，要求管理人员熟悉垃圾压缩站工艺流程、技术指标和运行管理要求，熟悉压缩站管理规章制度和岗位职责，熟练掌握站内设备操作规程，要求操作人员熟练掌握站内设备设施操作规程和工艺流程；</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3.应在垃圾压缩站作业区墙面醒目位置张贴压缩站操作规程、管理制度、安全制度；</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4.站区内应设置明显防火标志，站区内应配有消防栓和灭火器，消防栓水压正常，灭火器每半月检查维护1次，处于正常可用状态，严禁带火种车辆进入作业区，严禁在作业区内吸烟；</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5.严格遵守用电安全管理规定，严禁私拉电线和随意搭接临时电线，严禁私自改装、调试设备，严禁在站内给电动单车充电；</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6.严格按照操作规程进行车厢装卸、翻桶、压缩作业，在进行车厢装卸、翻桶作业时，须确定周边人员均在安全范围内方可进行操作，严防安全事故发生；</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7.作业过程中，需开启空气净化系统除臭降尘，确保站内外的空气清新，同时采取措施，降低作业噪音；</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8.发现故障无法排除时应及时通知专业维修人员前来维修，不得冒险操作；</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9.进站垃圾应做到日产日清，不得堆积过夜；</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10.站内作业工具、消毒用品应集中存放在工具房，规范有序摆放，妥善保管，禁止在站内堆积存放与压缩转运作业无关的物品，禁止在站内分拣垃圾，确保压缩站容貌和环境卫生整洁；</w:t>
            </w:r>
          </w:p>
          <w:p>
            <w:pPr>
              <w:keepNext w:val="0"/>
              <w:keepLines w:val="0"/>
              <w:widowControl/>
              <w:numPr>
                <w:ilvl w:val="0"/>
                <w:numId w:val="0"/>
              </w:numPr>
              <w:suppressLineNumbers w:val="0"/>
              <w:spacing w:line="360" w:lineRule="auto"/>
              <w:jc w:val="left"/>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11.作业人员应佩戴口罩和防水手套、穿长筒胶鞋进行作业；</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kern w:val="0"/>
                <w:sz w:val="24"/>
                <w:szCs w:val="24"/>
                <w:lang w:val="en-US" w:eastAsia="zh-CN" w:bidi="ar"/>
              </w:rPr>
              <w:t>12.建立完整的管理台账，记录每天车辆进出、垃圾转运、病媒消杀、设施运行、设备维护、安全检查等情况。</w:t>
            </w:r>
          </w:p>
        </w:tc>
      </w:tr>
    </w:tbl>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4.3.3环卫设施精细化作业和管理质量标准</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6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环卫设施名称</w:t>
            </w:r>
          </w:p>
        </w:tc>
        <w:tc>
          <w:tcPr>
            <w:tcW w:w="6753" w:type="dxa"/>
          </w:tcPr>
          <w:p>
            <w:pPr>
              <w:widowControl w:val="0"/>
              <w:numPr>
                <w:ilvl w:val="0"/>
                <w:numId w:val="0"/>
              </w:numPr>
              <w:spacing w:line="360" w:lineRule="auto"/>
              <w:jc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精细化作业内容和要求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vAlign w:val="center"/>
          </w:tcPr>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压缩站</w:t>
            </w:r>
          </w:p>
          <w:p>
            <w:pPr>
              <w:widowControl w:val="0"/>
              <w:numPr>
                <w:ilvl w:val="0"/>
                <w:numId w:val="0"/>
              </w:num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（转运站）</w:t>
            </w:r>
          </w:p>
        </w:tc>
        <w:tc>
          <w:tcPr>
            <w:tcW w:w="6753" w:type="dxa"/>
          </w:tcPr>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1.环境卫生方面达到“十无十净”标准：</w:t>
            </w:r>
          </w:p>
          <w:p>
            <w:pPr>
              <w:keepNext w:val="0"/>
              <w:keepLines w:val="0"/>
              <w:widowControl/>
              <w:numPr>
                <w:ilvl w:val="0"/>
                <w:numId w:val="0"/>
              </w:numPr>
              <w:suppressLineNumbers w:val="0"/>
              <w:spacing w:line="360" w:lineRule="auto"/>
              <w:ind w:firstLine="480" w:firstLineChars="200"/>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“十无”：无垃圾、无杂物、无污水、无污渍、无积尘、无异味、无蛛网、无四害、无蛆虫、无乱张贴拉挂；</w:t>
            </w:r>
          </w:p>
          <w:p>
            <w:pPr>
              <w:keepNext w:val="0"/>
              <w:keepLines w:val="0"/>
              <w:widowControl/>
              <w:numPr>
                <w:ilvl w:val="0"/>
                <w:numId w:val="0"/>
              </w:numPr>
              <w:suppressLineNumbers w:val="0"/>
              <w:spacing w:line="360" w:lineRule="auto"/>
              <w:ind w:firstLine="480" w:firstLineChars="200"/>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“十净”：地面净、墙壁净、门窗净、灯具净、压缩设备净、通风净化设备净、操作台净、排污沟道净、管理间净、周边环境净。</w:t>
            </w:r>
          </w:p>
          <w:p>
            <w:pPr>
              <w:keepNext w:val="0"/>
              <w:keepLines w:val="0"/>
              <w:widowControl/>
              <w:numPr>
                <w:ilvl w:val="0"/>
                <w:numId w:val="0"/>
              </w:numPr>
              <w:suppressLineNumbers w:val="0"/>
              <w:spacing w:line="360" w:lineRule="auto"/>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2.管理方面满足“五无五全”要求：</w:t>
            </w:r>
          </w:p>
          <w:p>
            <w:pPr>
              <w:keepNext w:val="0"/>
              <w:keepLines w:val="0"/>
              <w:widowControl/>
              <w:numPr>
                <w:ilvl w:val="0"/>
                <w:numId w:val="0"/>
              </w:numPr>
              <w:suppressLineNumbers w:val="0"/>
              <w:spacing w:line="360" w:lineRule="auto"/>
              <w:ind w:firstLine="480" w:firstLineChars="200"/>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“五无”：无锈蚀、无破损、无违章、无隐患、无人吸烟；</w:t>
            </w:r>
          </w:p>
          <w:p>
            <w:pPr>
              <w:keepNext w:val="0"/>
              <w:keepLines w:val="0"/>
              <w:widowControl/>
              <w:numPr>
                <w:ilvl w:val="0"/>
                <w:numId w:val="0"/>
              </w:numPr>
              <w:suppressLineNumbers w:val="0"/>
              <w:spacing w:line="360" w:lineRule="auto"/>
              <w:ind w:firstLine="480" w:firstLineChars="200"/>
              <w:jc w:val="left"/>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“五全”：规章制度健全、管理台账健全、安全措施健全、环保措施健全、消杀措施健全。</w:t>
            </w:r>
          </w:p>
        </w:tc>
      </w:tr>
    </w:tbl>
    <w:p>
      <w:pPr>
        <w:widowControl w:val="0"/>
        <w:numPr>
          <w:ilvl w:val="0"/>
          <w:numId w:val="25"/>
        </w:numPr>
        <w:spacing w:line="360" w:lineRule="auto"/>
        <w:ind w:firstLine="482" w:firstLineChars="20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指引的有效期和修订规定</w:t>
      </w:r>
    </w:p>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本试行指引自发布之日起实施，有效期三年。</w:t>
      </w:r>
    </w:p>
    <w:p>
      <w:pPr>
        <w:spacing w:line="360" w:lineRule="auto"/>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在实施过程中确有必要修订的，由市城市管理和综合执法局组织修订，并在广泛征求各区城市管理和综合执法局以及相关环卫作业单位的意见后以市城管办名义印发实施。</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br w:type="page"/>
      </w:r>
    </w:p>
    <w:p>
      <w:pPr>
        <w:numPr>
          <w:ilvl w:val="0"/>
          <w:numId w:val="0"/>
        </w:numPr>
        <w:spacing w:line="360" w:lineRule="auto"/>
        <w:ind w:leftChars="0"/>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附件4</w:t>
      </w:r>
    </w:p>
    <w:p>
      <w:pPr>
        <w:spacing w:line="360" w:lineRule="auto"/>
        <w:jc w:val="center"/>
        <w:rPr>
          <w:rFonts w:hint="eastAsia" w:ascii="仿宋" w:hAnsi="仿宋" w:eastAsia="仿宋" w:cs="仿宋"/>
          <w:b/>
          <w:bCs/>
          <w:color w:val="auto"/>
          <w:sz w:val="28"/>
          <w:szCs w:val="36"/>
          <w:lang w:val="en-US" w:eastAsia="zh-CN"/>
        </w:rPr>
      </w:pPr>
      <w:r>
        <w:rPr>
          <w:rFonts w:hint="eastAsia" w:ascii="仿宋" w:hAnsi="仿宋" w:eastAsia="仿宋" w:cs="仿宋"/>
          <w:b/>
          <w:bCs/>
          <w:color w:val="auto"/>
          <w:sz w:val="28"/>
          <w:szCs w:val="36"/>
          <w:lang w:val="en-US" w:eastAsia="zh-CN"/>
        </w:rPr>
        <w:t>考核要求及标准</w:t>
      </w:r>
    </w:p>
    <w:p>
      <w:pPr>
        <w:numPr>
          <w:ilvl w:val="0"/>
          <w:numId w:val="0"/>
        </w:numPr>
        <w:spacing w:line="360" w:lineRule="auto"/>
        <w:ind w:leftChars="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按国家有关规定，对合同期间</w:t>
      </w:r>
      <w:r>
        <w:rPr>
          <w:rFonts w:hint="eastAsia" w:ascii="仿宋" w:hAnsi="仿宋" w:eastAsia="仿宋" w:cs="仿宋"/>
          <w:color w:val="auto"/>
          <w:sz w:val="24"/>
          <w:szCs w:val="24"/>
          <w:lang w:val="en-US" w:eastAsia="zh-CN"/>
        </w:rPr>
        <w:t>中标人</w:t>
      </w:r>
      <w:r>
        <w:rPr>
          <w:rFonts w:hint="eastAsia" w:ascii="仿宋" w:hAnsi="仿宋" w:eastAsia="仿宋" w:cs="仿宋"/>
          <w:color w:val="auto"/>
          <w:sz w:val="24"/>
          <w:szCs w:val="24"/>
        </w:rPr>
        <w:t>完成合同情况进行评价、验收，考核结果得分90分以上(含90分)则为验收通过，否则不通过。如验收不通过，</w:t>
      </w:r>
      <w:r>
        <w:rPr>
          <w:rFonts w:hint="eastAsia" w:ascii="仿宋" w:hAnsi="仿宋" w:eastAsia="仿宋" w:cs="仿宋"/>
          <w:color w:val="auto"/>
          <w:sz w:val="24"/>
          <w:szCs w:val="24"/>
          <w:lang w:eastAsia="zh-CN"/>
        </w:rPr>
        <w:t>采购人</w:t>
      </w:r>
      <w:r>
        <w:rPr>
          <w:rFonts w:hint="eastAsia" w:ascii="仿宋" w:hAnsi="仿宋" w:eastAsia="仿宋" w:cs="仿宋"/>
          <w:color w:val="auto"/>
          <w:sz w:val="24"/>
          <w:szCs w:val="24"/>
          <w:lang w:val="en-US" w:eastAsia="zh-CN"/>
        </w:rPr>
        <w:t>有权扣除中标人服务费</w:t>
      </w:r>
      <w:r>
        <w:rPr>
          <w:rFonts w:hint="eastAsia" w:ascii="仿宋" w:hAnsi="仿宋" w:eastAsia="仿宋" w:cs="仿宋"/>
          <w:color w:val="auto"/>
          <w:sz w:val="24"/>
          <w:szCs w:val="24"/>
        </w:rPr>
        <w:t>。</w:t>
      </w:r>
    </w:p>
    <w:p>
      <w:pPr>
        <w:numPr>
          <w:ilvl w:val="0"/>
          <w:numId w:val="0"/>
        </w:numPr>
        <w:spacing w:line="360" w:lineRule="auto"/>
        <w:ind w:leftChars="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中标人</w:t>
      </w:r>
      <w:r>
        <w:rPr>
          <w:rFonts w:hint="eastAsia" w:ascii="仿宋" w:hAnsi="仿宋" w:eastAsia="仿宋" w:cs="仿宋"/>
          <w:color w:val="auto"/>
          <w:sz w:val="24"/>
          <w:szCs w:val="24"/>
        </w:rPr>
        <w:t>应按照</w:t>
      </w: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制定的《垃圾压缩站日常运营监管项目考核标准细则》内容，配合</w:t>
      </w: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进行每季度一次考核并提供相关资料，考核总分100分，季度得分90分(含90分)以上为合格:低于90分高于80分的(含80分)的，每低1分</w:t>
      </w: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从当季度服务承包费用中扣减2000元;低于80分高于60分的(含60分)的，每低1分</w:t>
      </w: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从当季度服务承包费用中扣减5000元;低于60分的，每低1分</w:t>
      </w:r>
      <w:r>
        <w:rPr>
          <w:rFonts w:hint="eastAsia" w:ascii="仿宋" w:hAnsi="仿宋" w:eastAsia="仿宋" w:cs="仿宋"/>
          <w:color w:val="auto"/>
          <w:sz w:val="24"/>
          <w:szCs w:val="24"/>
          <w:lang w:val="en-US" w:eastAsia="zh-CN"/>
        </w:rPr>
        <w:t>采购人</w:t>
      </w:r>
      <w:r>
        <w:rPr>
          <w:rFonts w:hint="eastAsia" w:ascii="仿宋" w:hAnsi="仿宋" w:eastAsia="仿宋" w:cs="仿宋"/>
          <w:color w:val="auto"/>
          <w:sz w:val="24"/>
          <w:szCs w:val="24"/>
        </w:rPr>
        <w:t>从当季度服务承包费用中扣减1万元。</w:t>
      </w:r>
    </w:p>
    <w:p>
      <w:pPr>
        <w:spacing w:line="360" w:lineRule="auto"/>
        <w:jc w:val="left"/>
        <w:rPr>
          <w:rFonts w:hint="eastAsia" w:ascii="仿宋" w:hAnsi="仿宋" w:eastAsia="仿宋" w:cs="仿宋"/>
          <w:b/>
          <w:bCs/>
          <w:color w:val="auto"/>
          <w:sz w:val="24"/>
          <w:szCs w:val="24"/>
          <w:lang w:val="en-US" w:eastAsia="zh-CN"/>
        </w:rPr>
      </w:pPr>
    </w:p>
    <w:p>
      <w:pPr>
        <w:spacing w:line="360" w:lineRule="auto"/>
        <w:jc w:val="center"/>
        <w:rPr>
          <w:rFonts w:hint="eastAsia" w:ascii="仿宋" w:hAnsi="仿宋" w:eastAsia="仿宋" w:cs="仿宋"/>
          <w:b/>
          <w:bCs/>
          <w:color w:val="auto"/>
          <w:sz w:val="28"/>
          <w:szCs w:val="36"/>
          <w:lang w:val="en-US" w:eastAsia="zh-CN"/>
        </w:rPr>
      </w:pPr>
      <w:r>
        <w:rPr>
          <w:rFonts w:hint="eastAsia" w:ascii="仿宋" w:hAnsi="仿宋" w:eastAsia="仿宋" w:cs="仿宋"/>
          <w:b/>
          <w:bCs/>
          <w:color w:val="auto"/>
          <w:sz w:val="28"/>
          <w:szCs w:val="36"/>
          <w:lang w:val="en-US" w:eastAsia="zh-CN"/>
        </w:rPr>
        <w:t>垃圾压缩站日常运营监管项目考核标准细则</w:t>
      </w:r>
    </w:p>
    <w:p>
      <w:pPr>
        <w:rPr>
          <w:rFonts w:hint="eastAsia"/>
          <w:color w:val="auto"/>
          <w:vertAlign w:val="baseline"/>
          <w:lang w:val="en-US" w:eastAsia="zh-CN"/>
        </w:rPr>
      </w:pPr>
      <w:r>
        <w:rPr>
          <w:rFonts w:hint="eastAsia"/>
          <w:color w:val="auto"/>
          <w:lang w:val="en-US" w:eastAsia="zh-CN"/>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275"/>
        <w:gridCol w:w="3495"/>
        <w:gridCol w:w="1950"/>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tcPr>
          <w:p>
            <w:pPr>
              <w:spacing w:line="360" w:lineRule="auto"/>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序号</w:t>
            </w:r>
          </w:p>
        </w:tc>
        <w:tc>
          <w:tcPr>
            <w:tcW w:w="1275" w:type="dxa"/>
          </w:tcPr>
          <w:p>
            <w:pPr>
              <w:spacing w:line="360" w:lineRule="auto"/>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评价内容</w:t>
            </w:r>
          </w:p>
        </w:tc>
        <w:tc>
          <w:tcPr>
            <w:tcW w:w="3495" w:type="dxa"/>
          </w:tcPr>
          <w:p>
            <w:pPr>
              <w:spacing w:line="360" w:lineRule="auto"/>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评价标准</w:t>
            </w:r>
          </w:p>
        </w:tc>
        <w:tc>
          <w:tcPr>
            <w:tcW w:w="1950" w:type="dxa"/>
          </w:tcPr>
          <w:p>
            <w:pPr>
              <w:spacing w:line="360" w:lineRule="auto"/>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评价方式</w:t>
            </w:r>
          </w:p>
        </w:tc>
        <w:tc>
          <w:tcPr>
            <w:tcW w:w="1042" w:type="dxa"/>
          </w:tcPr>
          <w:p>
            <w:pPr>
              <w:spacing w:line="360" w:lineRule="auto"/>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1</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按采购文件设置人员和车辆</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中标人应按投标文件配齐人员和车辆。采购人每季度组织抽查，发现少一人，每宗扣2分。少一台车辆，每宗扣3分</w:t>
            </w:r>
          </w:p>
        </w:tc>
        <w:tc>
          <w:tcPr>
            <w:tcW w:w="1950"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查资料，按季度提交人员社保和车辆行驶证等信息</w:t>
            </w:r>
          </w:p>
        </w:tc>
        <w:tc>
          <w:tcPr>
            <w:tcW w:w="1042" w:type="dxa"/>
            <w:vMerge w:val="restart"/>
            <w:vAlign w:val="center"/>
          </w:tcPr>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100分</w:t>
            </w:r>
          </w:p>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(扣完为止)</w:t>
            </w:r>
          </w:p>
          <w:p>
            <w:pPr>
              <w:spacing w:line="360" w:lineRule="auto"/>
              <w:jc w:val="center"/>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2</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服务质量</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因垃圾压缩站臭气噪音扰民、场地环境卫生脏乱差等长期存在的问题。其中标人未能及时发现，造成不良影响，被市民经12345政府热线投诉的每宗扣2分:被舆情煤体曝光、领导批示整改的，每宗次扣5分。</w:t>
            </w:r>
          </w:p>
        </w:tc>
        <w:tc>
          <w:tcPr>
            <w:tcW w:w="1950"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市政府文件和12345政府热线工单</w:t>
            </w: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3</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问题整改落实</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中标人在检查中发现问题并通过智慧环卫系统于当天发送给管理单位进行整改，并协助采购人进行督办，未跟进运营单位反馈整改情况的，每宗扣1分。</w:t>
            </w:r>
          </w:p>
        </w:tc>
        <w:tc>
          <w:tcPr>
            <w:tcW w:w="1950" w:type="dxa"/>
            <w:vAlign w:val="center"/>
          </w:tcPr>
          <w:p>
            <w:pPr>
              <w:spacing w:line="360" w:lineRule="auto"/>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检查的问题图片和整改后的对比图片</w:t>
            </w:r>
          </w:p>
          <w:p>
            <w:pPr>
              <w:spacing w:line="360" w:lineRule="auto"/>
              <w:jc w:val="center"/>
              <w:rPr>
                <w:rFonts w:hint="eastAsia" w:ascii="仿宋" w:hAnsi="仿宋" w:eastAsia="仿宋" w:cs="仿宋"/>
                <w:color w:val="auto"/>
                <w:sz w:val="24"/>
                <w:szCs w:val="24"/>
                <w:vertAlign w:val="baseline"/>
                <w:lang w:val="en-US" w:eastAsia="zh-CN"/>
              </w:rPr>
            </w:pP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4</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检查是否全覆盖</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 xml:space="preserve">中标人未按要求对全市压缩站点进行全覆盖检查及问题整改回头看的，每少1站次扣2分。 </w:t>
            </w:r>
          </w:p>
        </w:tc>
        <w:tc>
          <w:tcPr>
            <w:tcW w:w="1950"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采购人根据中标人通过智慧环卫提交的检查资料或检查照片水印进行检查</w:t>
            </w: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8" w:hRule="atLeast"/>
        </w:trPr>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5</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检查是否到位</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中标人未按照内容对每站进行严格检查并及时仔细填写检查表的。每站次扣1分。</w:t>
            </w:r>
          </w:p>
        </w:tc>
        <w:tc>
          <w:tcPr>
            <w:tcW w:w="1950"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采购人根据中标人通过智慧环卫提交的检查资料或通过压缩站视频监控系统进行检查</w:t>
            </w: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6</w:t>
            </w:r>
          </w:p>
        </w:tc>
        <w:tc>
          <w:tcPr>
            <w:tcW w:w="127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提交资料的质量</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中标人提交的季度检查报告有错漏的每处扣1分，内容弄虚作假的每处扣5分。</w:t>
            </w:r>
          </w:p>
        </w:tc>
        <w:tc>
          <w:tcPr>
            <w:tcW w:w="195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采购人对中标人提交的报告进行抽查</w:t>
            </w: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restart"/>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7</w:t>
            </w:r>
          </w:p>
        </w:tc>
        <w:tc>
          <w:tcPr>
            <w:tcW w:w="1275" w:type="dxa"/>
            <w:vMerge w:val="restart"/>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安全生产和疫情防控</w:t>
            </w:r>
          </w:p>
        </w:tc>
        <w:tc>
          <w:tcPr>
            <w:tcW w:w="3495"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中标人在检查过程中发生道路交通安安全生产和疫情防控 全事故和检查人员感染新冠并造成严重影响，每宗扣10分。</w:t>
            </w:r>
          </w:p>
        </w:tc>
        <w:tc>
          <w:tcPr>
            <w:tcW w:w="1950" w:type="dxa"/>
            <w:vAlign w:val="center"/>
          </w:tcPr>
          <w:p>
            <w:pPr>
              <w:spacing w:line="360" w:lineRule="auto"/>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管理单位和公安交警反馈情况</w:t>
            </w:r>
          </w:p>
          <w:p>
            <w:pPr>
              <w:spacing w:line="360" w:lineRule="auto"/>
              <w:jc w:val="center"/>
              <w:rPr>
                <w:rFonts w:hint="eastAsia" w:ascii="仿宋" w:hAnsi="仿宋" w:eastAsia="仿宋" w:cs="仿宋"/>
                <w:color w:val="auto"/>
                <w:sz w:val="24"/>
                <w:szCs w:val="24"/>
                <w:vertAlign w:val="baseline"/>
                <w:lang w:val="en-US" w:eastAsia="zh-CN"/>
              </w:rPr>
            </w:pP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continue"/>
            <w:vAlign w:val="center"/>
          </w:tcPr>
          <w:p>
            <w:pPr>
              <w:spacing w:line="360" w:lineRule="auto"/>
              <w:jc w:val="center"/>
              <w:rPr>
                <w:rFonts w:hint="eastAsia" w:ascii="仿宋" w:hAnsi="仿宋" w:eastAsia="仿宋" w:cs="仿宋"/>
                <w:color w:val="auto"/>
                <w:sz w:val="24"/>
                <w:szCs w:val="24"/>
                <w:vertAlign w:val="baseline"/>
                <w:lang w:val="en-US" w:eastAsia="zh-CN"/>
              </w:rPr>
            </w:pPr>
          </w:p>
        </w:tc>
        <w:tc>
          <w:tcPr>
            <w:tcW w:w="1275" w:type="dxa"/>
            <w:vMerge w:val="continue"/>
            <w:vAlign w:val="center"/>
          </w:tcPr>
          <w:p>
            <w:pPr>
              <w:spacing w:line="360" w:lineRule="auto"/>
              <w:jc w:val="center"/>
              <w:rPr>
                <w:rFonts w:hint="eastAsia" w:ascii="仿宋" w:hAnsi="仿宋" w:eastAsia="仿宋" w:cs="仿宋"/>
                <w:color w:val="auto"/>
                <w:sz w:val="24"/>
                <w:szCs w:val="24"/>
                <w:lang w:val="en-US" w:eastAsia="zh-CN"/>
              </w:rPr>
            </w:pPr>
          </w:p>
        </w:tc>
        <w:tc>
          <w:tcPr>
            <w:tcW w:w="3495"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因中标人检查不到位导致垃圾压缩站发生安全生产事故和环卫工人感染新冠，每宗扣10分。</w:t>
            </w:r>
          </w:p>
        </w:tc>
        <w:tc>
          <w:tcPr>
            <w:tcW w:w="1950" w:type="dxa"/>
            <w:vAlign w:val="center"/>
          </w:tcPr>
          <w:p>
            <w:pPr>
              <w:spacing w:line="360" w:lineRule="auto"/>
              <w:jc w:val="both"/>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管理单位反馈情况</w:t>
            </w: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pPr>
              <w:spacing w:line="360" w:lineRule="auto"/>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8</w:t>
            </w:r>
          </w:p>
        </w:tc>
        <w:tc>
          <w:tcPr>
            <w:tcW w:w="1275" w:type="dxa"/>
            <w:vAlign w:val="center"/>
          </w:tcPr>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廉政纪律</w:t>
            </w:r>
          </w:p>
        </w:tc>
        <w:tc>
          <w:tcPr>
            <w:tcW w:w="3495" w:type="dxa"/>
            <w:vAlign w:val="center"/>
          </w:tcPr>
          <w:p>
            <w:pPr>
              <w:spacing w:line="360" w:lineRule="auto"/>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采购人检查人员因收受管理单位礼金有价证券。礼品或接受宴请，徇私舞弊、弄虚作假、篡改检查结果的，每宗扣10分。</w:t>
            </w:r>
          </w:p>
        </w:tc>
        <w:tc>
          <w:tcPr>
            <w:tcW w:w="1950" w:type="dxa"/>
            <w:vAlign w:val="center"/>
          </w:tcPr>
          <w:p>
            <w:pPr>
              <w:spacing w:line="360" w:lineRule="auto"/>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随机监督、现场抽查</w:t>
            </w:r>
          </w:p>
          <w:p>
            <w:pPr>
              <w:spacing w:line="360" w:lineRule="auto"/>
              <w:jc w:val="center"/>
              <w:rPr>
                <w:rFonts w:hint="eastAsia" w:ascii="仿宋" w:hAnsi="仿宋" w:eastAsia="仿宋" w:cs="仿宋"/>
                <w:color w:val="auto"/>
                <w:sz w:val="24"/>
                <w:szCs w:val="24"/>
                <w:lang w:val="en-US" w:eastAsia="zh-CN"/>
              </w:rPr>
            </w:pPr>
          </w:p>
        </w:tc>
        <w:tc>
          <w:tcPr>
            <w:tcW w:w="1042" w:type="dxa"/>
            <w:vMerge w:val="continue"/>
          </w:tcPr>
          <w:p>
            <w:pPr>
              <w:spacing w:line="360" w:lineRule="auto"/>
              <w:rPr>
                <w:rFonts w:hint="eastAsia" w:ascii="仿宋" w:hAnsi="仿宋" w:eastAsia="仿宋" w:cs="仿宋"/>
                <w:color w:val="auto"/>
                <w:sz w:val="24"/>
                <w:szCs w:val="24"/>
                <w:vertAlign w:val="baseline"/>
                <w:lang w:val="en-US" w:eastAsia="zh-CN"/>
              </w:rPr>
            </w:pPr>
          </w:p>
        </w:tc>
      </w:tr>
    </w:tbl>
    <w:p>
      <w:pPr>
        <w:widowControl w:val="0"/>
        <w:numPr>
          <w:ilvl w:val="0"/>
          <w:numId w:val="0"/>
        </w:numPr>
        <w:spacing w:line="360" w:lineRule="auto"/>
        <w:ind w:firstLine="480" w:firstLineChars="200"/>
        <w:jc w:val="both"/>
        <w:rPr>
          <w:rFonts w:hint="eastAsia" w:ascii="仿宋" w:hAnsi="仿宋" w:eastAsia="仿宋" w:cs="仿宋"/>
          <w:color w:val="auto"/>
          <w:sz w:val="24"/>
          <w:szCs w:val="24"/>
          <w:lang w:val="en-US" w:eastAsia="zh-CN"/>
        </w:rPr>
      </w:pP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lang w:val="en-US" w:eastAsia="zh-CN"/>
        </w:rPr>
        <w:t>采购</w:t>
      </w:r>
      <w:r>
        <w:rPr>
          <w:rFonts w:hint="eastAsia" w:ascii="仿宋" w:hAnsi="仿宋" w:eastAsia="仿宋" w:cs="仿宋"/>
          <w:b/>
          <w:bCs/>
          <w:color w:val="auto"/>
          <w:sz w:val="24"/>
          <w:szCs w:val="28"/>
        </w:rPr>
        <w:t>包1（</w:t>
      </w:r>
      <w:r>
        <w:rPr>
          <w:rFonts w:hint="eastAsia" w:ascii="仿宋" w:hAnsi="仿宋" w:eastAsia="仿宋" w:cs="仿宋"/>
          <w:b/>
          <w:bCs/>
          <w:color w:val="auto"/>
          <w:sz w:val="24"/>
          <w:szCs w:val="28"/>
          <w:lang w:eastAsia="zh-CN"/>
        </w:rPr>
        <w:t>垃圾压缩站日常运营监管项目</w:t>
      </w:r>
      <w:r>
        <w:rPr>
          <w:rFonts w:hint="eastAsia" w:ascii="仿宋" w:hAnsi="仿宋" w:eastAsia="仿宋" w:cs="仿宋"/>
          <w:b/>
          <w:bCs/>
          <w:color w:val="auto"/>
          <w:sz w:val="24"/>
          <w:szCs w:val="28"/>
        </w:rPr>
        <w:t>）</w:t>
      </w: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1.主要商务要求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6"/>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标的提供的时间</w:t>
            </w:r>
          </w:p>
        </w:tc>
        <w:tc>
          <w:tcPr>
            <w:tcW w:w="6436" w:type="dxa"/>
          </w:tcPr>
          <w:p>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服务期限三年。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标的提供的地点</w:t>
            </w:r>
          </w:p>
        </w:tc>
        <w:tc>
          <w:tcPr>
            <w:tcW w:w="6436" w:type="dxa"/>
          </w:tcPr>
          <w:p>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广州市11个行政区内的生活垃圾压缩站。</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付款方式</w:t>
            </w:r>
          </w:p>
        </w:tc>
        <w:tc>
          <w:tcPr>
            <w:tcW w:w="6436" w:type="dxa"/>
          </w:tcPr>
          <w:p>
            <w:pPr>
              <w:autoSpaceDE w:val="0"/>
              <w:autoSpaceDN w:val="0"/>
              <w:adjustRightInd w:val="0"/>
              <w:spacing w:line="360" w:lineRule="auto"/>
              <w:jc w:val="left"/>
              <w:rPr>
                <w:rFonts w:hint="eastAsia" w:ascii="仿宋" w:hAnsi="仿宋" w:eastAsia="仿宋" w:cs="仿宋"/>
                <w:kern w:val="2"/>
                <w:sz w:val="24"/>
                <w:szCs w:val="24"/>
                <w:lang w:val="en-US" w:eastAsia="zh-CN"/>
              </w:rPr>
            </w:pPr>
            <w:r>
              <w:rPr>
                <w:rFonts w:hint="eastAsia" w:ascii="仿宋" w:hAnsi="仿宋" w:eastAsia="仿宋" w:cs="仿宋"/>
                <w:color w:val="auto"/>
                <w:kern w:val="0"/>
                <w:sz w:val="24"/>
                <w:szCs w:val="24"/>
              </w:rPr>
              <w:t>1期：</w:t>
            </w:r>
            <w:r>
              <w:rPr>
                <w:rFonts w:hint="eastAsia" w:ascii="仿宋" w:hAnsi="仿宋" w:eastAsia="仿宋" w:cs="仿宋"/>
                <w:kern w:val="2"/>
                <w:sz w:val="24"/>
                <w:szCs w:val="24"/>
                <w:lang w:val="en-US" w:eastAsia="zh-CN"/>
              </w:rPr>
              <w:t>支付比例100%，</w:t>
            </w:r>
          </w:p>
          <w:p>
            <w:pPr>
              <w:numPr>
                <w:ilvl w:val="0"/>
                <w:numId w:val="26"/>
              </w:numPr>
              <w:autoSpaceDE w:val="0"/>
              <w:autoSpaceDN w:val="0"/>
              <w:adjustRightIn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color w:val="auto"/>
                <w:kern w:val="0"/>
                <w:sz w:val="24"/>
                <w:szCs w:val="24"/>
                <w:lang w:val="en-US" w:eastAsia="zh-CN"/>
              </w:rPr>
              <w:t>服务费按年度支付。中标金额按年度分配。每年度首月15日前</w:t>
            </w:r>
            <w:r>
              <w:rPr>
                <w:rFonts w:hint="eastAsia" w:ascii="仿宋" w:hAnsi="仿宋" w:eastAsia="仿宋" w:cs="仿宋"/>
                <w:sz w:val="24"/>
                <w:szCs w:val="24"/>
              </w:rPr>
              <w:t>，支付</w:t>
            </w:r>
            <w:r>
              <w:rPr>
                <w:rFonts w:hint="eastAsia" w:ascii="仿宋" w:hAnsi="仿宋" w:eastAsia="仿宋" w:cs="仿宋"/>
                <w:sz w:val="24"/>
                <w:szCs w:val="24"/>
                <w:lang w:val="en-US" w:eastAsia="zh-CN"/>
              </w:rPr>
              <w:t>当年度</w:t>
            </w:r>
            <w:r>
              <w:rPr>
                <w:rFonts w:hint="eastAsia" w:ascii="仿宋" w:hAnsi="仿宋" w:eastAsia="仿宋" w:cs="仿宋"/>
                <w:sz w:val="24"/>
                <w:szCs w:val="24"/>
              </w:rPr>
              <w:t>金额的30%作为预付款；</w:t>
            </w:r>
          </w:p>
          <w:p>
            <w:pPr>
              <w:numPr>
                <w:ilvl w:val="0"/>
                <w:numId w:val="26"/>
              </w:numPr>
              <w:autoSpaceDE w:val="0"/>
              <w:autoSpaceDN w:val="0"/>
              <w:adjustRightInd w:val="0"/>
              <w:spacing w:line="360" w:lineRule="auto"/>
              <w:ind w:firstLine="480" w:firstLineChars="200"/>
              <w:jc w:val="left"/>
              <w:rPr>
                <w:rFonts w:hint="eastAsia" w:ascii="仿宋" w:hAnsi="仿宋" w:eastAsia="仿宋" w:cs="仿宋"/>
                <w:color w:val="auto"/>
                <w:sz w:val="24"/>
                <w:szCs w:val="24"/>
              </w:rPr>
            </w:pPr>
            <w:r>
              <w:rPr>
                <w:rFonts w:hint="eastAsia" w:ascii="仿宋" w:hAnsi="仿宋" w:eastAsia="仿宋" w:cs="仿宋"/>
                <w:sz w:val="24"/>
                <w:szCs w:val="24"/>
              </w:rPr>
              <w:t>采购人每季度支付一次服务费</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额度为当年度</w:t>
            </w:r>
            <w:r>
              <w:rPr>
                <w:rFonts w:hint="eastAsia" w:ascii="仿宋" w:hAnsi="仿宋" w:eastAsia="仿宋" w:cs="仿宋"/>
                <w:sz w:val="24"/>
                <w:szCs w:val="24"/>
              </w:rPr>
              <w:t>金额</w:t>
            </w:r>
            <w:r>
              <w:rPr>
                <w:rFonts w:hint="eastAsia" w:ascii="仿宋" w:hAnsi="仿宋" w:eastAsia="仿宋" w:cs="仿宋"/>
                <w:sz w:val="24"/>
                <w:szCs w:val="24"/>
                <w:lang w:val="en-US" w:eastAsia="zh-CN"/>
              </w:rPr>
              <w:t>的25%</w:t>
            </w:r>
            <w:r>
              <w:rPr>
                <w:rFonts w:hint="eastAsia" w:ascii="仿宋" w:hAnsi="仿宋" w:eastAsia="仿宋" w:cs="仿宋"/>
                <w:sz w:val="24"/>
                <w:szCs w:val="24"/>
                <w:lang w:eastAsia="zh-CN"/>
              </w:rPr>
              <w:t>）</w:t>
            </w:r>
            <w:r>
              <w:rPr>
                <w:rFonts w:hint="eastAsia" w:ascii="仿宋" w:hAnsi="仿宋" w:eastAsia="仿宋" w:cs="仿宋"/>
                <w:sz w:val="24"/>
                <w:szCs w:val="24"/>
              </w:rPr>
              <w:t>（次季度开始的第一个月支付上一季度服务费），先从预付款中扣除，当预付款扣完时，采购人才开始每季度按进度支付费用，</w:t>
            </w:r>
            <w:r>
              <w:rPr>
                <w:rFonts w:hint="eastAsia" w:ascii="仿宋" w:hAnsi="仿宋" w:eastAsia="仿宋" w:cs="仿宋"/>
                <w:bCs/>
                <w:sz w:val="24"/>
                <w:szCs w:val="24"/>
                <w:highlight w:val="none"/>
              </w:rPr>
              <w:t>采购人</w:t>
            </w:r>
            <w:r>
              <w:rPr>
                <w:rFonts w:hint="eastAsia" w:ascii="仿宋" w:hAnsi="仿宋" w:eastAsia="仿宋" w:cs="仿宋"/>
                <w:bCs/>
                <w:sz w:val="24"/>
                <w:szCs w:val="24"/>
                <w:highlight w:val="none"/>
                <w:lang w:eastAsia="zh-CN"/>
              </w:rPr>
              <w:t>根据《</w:t>
            </w:r>
            <w:r>
              <w:rPr>
                <w:rFonts w:hint="eastAsia" w:ascii="仿宋" w:hAnsi="仿宋" w:eastAsia="仿宋" w:cs="仿宋"/>
                <w:bCs/>
                <w:sz w:val="24"/>
                <w:szCs w:val="24"/>
                <w:highlight w:val="none"/>
                <w:lang w:val="en-US" w:eastAsia="zh-CN"/>
              </w:rPr>
              <w:t>垃圾压缩站日常运营监管项目考核标准细则</w:t>
            </w:r>
            <w:r>
              <w:rPr>
                <w:rFonts w:hint="eastAsia" w:ascii="仿宋" w:hAnsi="仿宋" w:eastAsia="仿宋" w:cs="仿宋"/>
                <w:bCs/>
                <w:sz w:val="24"/>
                <w:szCs w:val="24"/>
                <w:highlight w:val="none"/>
                <w:lang w:eastAsia="zh-CN"/>
              </w:rPr>
              <w:t>》</w:t>
            </w:r>
            <w:r>
              <w:rPr>
                <w:rFonts w:hint="eastAsia" w:ascii="仿宋" w:hAnsi="仿宋" w:eastAsia="仿宋" w:cs="仿宋"/>
                <w:bCs/>
                <w:sz w:val="24"/>
                <w:szCs w:val="24"/>
                <w:highlight w:val="none"/>
                <w:lang w:val="en-US" w:eastAsia="zh-CN"/>
              </w:rPr>
              <w:t>考核</w:t>
            </w:r>
            <w:r>
              <w:rPr>
                <w:rFonts w:hint="eastAsia" w:ascii="仿宋" w:hAnsi="仿宋" w:eastAsia="仿宋" w:cs="仿宋"/>
                <w:bCs/>
                <w:sz w:val="24"/>
                <w:szCs w:val="24"/>
                <w:highlight w:val="none"/>
                <w:lang w:eastAsia="zh-CN"/>
              </w:rPr>
              <w:t>结果）</w:t>
            </w:r>
            <w:r>
              <w:rPr>
                <w:rFonts w:hint="eastAsia" w:ascii="仿宋" w:hAnsi="仿宋" w:eastAsia="仿宋" w:cs="仿宋"/>
                <w:bCs/>
                <w:sz w:val="24"/>
                <w:szCs w:val="24"/>
                <w:highlight w:val="none"/>
              </w:rPr>
              <w:t>计算当</w:t>
            </w:r>
            <w:r>
              <w:rPr>
                <w:rFonts w:hint="eastAsia" w:ascii="仿宋" w:hAnsi="仿宋" w:eastAsia="仿宋" w:cs="仿宋"/>
                <w:bCs/>
                <w:sz w:val="24"/>
                <w:szCs w:val="24"/>
                <w:highlight w:val="none"/>
                <w:lang w:val="en-US" w:eastAsia="zh-CN"/>
              </w:rPr>
              <w:t>季度</w:t>
            </w:r>
            <w:r>
              <w:rPr>
                <w:rFonts w:hint="eastAsia" w:ascii="仿宋" w:hAnsi="仿宋" w:eastAsia="仿宋" w:cs="仿宋"/>
                <w:bCs/>
                <w:sz w:val="24"/>
                <w:szCs w:val="24"/>
                <w:highlight w:val="none"/>
              </w:rPr>
              <w:t>费用结算金额</w:t>
            </w:r>
            <w:r>
              <w:rPr>
                <w:rFonts w:hint="eastAsia" w:ascii="仿宋" w:hAnsi="仿宋" w:eastAsia="仿宋" w:cs="仿宋"/>
                <w:bCs/>
                <w:sz w:val="24"/>
                <w:szCs w:val="24"/>
                <w:highlight w:val="none"/>
                <w:lang w:eastAsia="zh-CN"/>
              </w:rPr>
              <w:t>，</w:t>
            </w:r>
            <w:r>
              <w:rPr>
                <w:rFonts w:hint="eastAsia" w:ascii="仿宋" w:hAnsi="仿宋" w:eastAsia="仿宋" w:cs="仿宋"/>
                <w:sz w:val="24"/>
                <w:szCs w:val="24"/>
              </w:rPr>
              <w:t>采购人收到完整的申请资料后5个工作日内办理支付手续。</w:t>
            </w:r>
          </w:p>
          <w:p>
            <w:pPr>
              <w:pStyle w:val="9"/>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中标人凭以下有效文件与采购人结算：</w:t>
            </w:r>
          </w:p>
          <w:p>
            <w:pPr>
              <w:pStyle w:val="9"/>
              <w:numPr>
                <w:ilvl w:val="0"/>
                <w:numId w:val="27"/>
              </w:numPr>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中标通知书；</w:t>
            </w:r>
          </w:p>
          <w:p>
            <w:pPr>
              <w:pStyle w:val="9"/>
              <w:numPr>
                <w:ilvl w:val="0"/>
                <w:numId w:val="27"/>
              </w:numPr>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合同；</w:t>
            </w:r>
          </w:p>
          <w:p>
            <w:pPr>
              <w:pStyle w:val="9"/>
              <w:numPr>
                <w:ilvl w:val="0"/>
                <w:numId w:val="27"/>
              </w:numPr>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验收/成果报告（加盖采购人公章）；</w:t>
            </w:r>
          </w:p>
          <w:p>
            <w:pPr>
              <w:pStyle w:val="9"/>
              <w:numPr>
                <w:ilvl w:val="0"/>
                <w:numId w:val="27"/>
              </w:numPr>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中标人开具的正式发票；</w:t>
            </w:r>
          </w:p>
          <w:p>
            <w:pPr>
              <w:pStyle w:val="9"/>
              <w:numPr>
                <w:ilvl w:val="0"/>
                <w:numId w:val="27"/>
              </w:numPr>
              <w:spacing w:line="360" w:lineRule="auto"/>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采购人要求的其他相关结算资料。</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备注：</w:t>
            </w:r>
            <w:r>
              <w:rPr>
                <w:rFonts w:hint="eastAsia" w:ascii="仿宋" w:hAnsi="仿宋" w:eastAsia="仿宋" w:cs="仿宋"/>
                <w:b w:val="0"/>
                <w:bCs w:val="0"/>
                <w:color w:val="auto"/>
                <w:kern w:val="0"/>
                <w:sz w:val="24"/>
                <w:szCs w:val="24"/>
                <w:lang w:val="en-US" w:eastAsia="zh-CN"/>
              </w:rPr>
              <w:t>因采购人使用的是财政资金，采购人在前款规定的付款时间为向政府采购支付部门提出办理财政支付申请手续的时</w:t>
            </w:r>
            <w:r>
              <w:rPr>
                <w:rFonts w:hint="eastAsia" w:ascii="仿宋" w:hAnsi="仿宋" w:eastAsia="仿宋" w:cs="仿宋"/>
                <w:color w:val="auto"/>
                <w:kern w:val="0"/>
                <w:sz w:val="24"/>
                <w:szCs w:val="24"/>
                <w:lang w:val="en-US" w:eastAsia="zh-CN"/>
              </w:rPr>
              <w:t>间（不含政府财政支付部门审核的时间），在规定时间内提出支付申请手续后即视为采购人已经按期支付。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履约保证金</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其他</w:t>
            </w:r>
          </w:p>
        </w:tc>
        <w:tc>
          <w:tcPr>
            <w:tcW w:w="6436" w:type="dxa"/>
          </w:tcPr>
          <w:p>
            <w:pPr>
              <w:autoSpaceDE w:val="0"/>
              <w:autoSpaceDN w:val="0"/>
              <w:adjustRightInd w:val="0"/>
              <w:spacing w:line="360" w:lineRule="auto"/>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lang w:val="en-US" w:eastAsia="zh-CN"/>
              </w:rPr>
              <w:t>1</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报价要求：</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投标</w:t>
            </w:r>
            <w:r>
              <w:rPr>
                <w:rFonts w:hint="eastAsia" w:ascii="仿宋" w:hAnsi="仿宋" w:eastAsia="仿宋" w:cs="仿宋"/>
                <w:color w:val="auto"/>
                <w:kern w:val="0"/>
                <w:sz w:val="24"/>
                <w:szCs w:val="24"/>
              </w:rPr>
              <w:t>报价为总价包干，包括服务成本、法定税费和</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的利润及合同实施过程中不可预见费用等一切费用，由</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根据</w:t>
            </w:r>
            <w:r>
              <w:rPr>
                <w:rFonts w:hint="eastAsia" w:ascii="仿宋" w:hAnsi="仿宋" w:eastAsia="仿宋" w:cs="仿宋"/>
                <w:color w:val="auto"/>
                <w:kern w:val="0"/>
                <w:sz w:val="24"/>
                <w:szCs w:val="24"/>
                <w:lang w:eastAsia="zh-CN"/>
              </w:rPr>
              <w:t>采购</w:t>
            </w:r>
            <w:r>
              <w:rPr>
                <w:rFonts w:hint="eastAsia" w:ascii="仿宋" w:hAnsi="仿宋" w:eastAsia="仿宋" w:cs="仿宋"/>
                <w:color w:val="auto"/>
                <w:kern w:val="0"/>
                <w:sz w:val="24"/>
                <w:szCs w:val="24"/>
              </w:rPr>
              <w:t>文件所提供的资料自行测算报价；在合同执行过程中，采购人将不再另行支付与本项目相关的任何费用。</w:t>
            </w:r>
          </w:p>
          <w:p>
            <w:pPr>
              <w:autoSpaceDE w:val="0"/>
              <w:autoSpaceDN w:val="0"/>
              <w:adjustRightInd w:val="0"/>
              <w:spacing w:line="360" w:lineRule="auto"/>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lang w:val="en-US" w:eastAsia="zh-CN"/>
              </w:rPr>
              <w:t>2</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其他要求</w:t>
            </w:r>
            <w:r>
              <w:rPr>
                <w:rFonts w:hint="eastAsia" w:ascii="仿宋" w:hAnsi="仿宋" w:eastAsia="仿宋" w:cs="仿宋"/>
                <w:color w:val="auto"/>
                <w:kern w:val="0"/>
                <w:sz w:val="24"/>
                <w:szCs w:val="24"/>
                <w:lang w:eastAsia="zh-CN"/>
              </w:rPr>
              <w:t>：</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①</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具有开展生活垃圾压缩站检查评价工作的经验,并根据本项目的项目内容、要求及各项考核标准制定相关检查评估工作计划及进度安排。</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②</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有建立档案管理体系和保密制度。</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③</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需配备项目负责人1人及另不少于</w:t>
            </w:r>
            <w:r>
              <w:rPr>
                <w:rFonts w:hint="eastAsia" w:ascii="仿宋" w:hAnsi="仿宋" w:eastAsia="仿宋" w:cs="仿宋"/>
                <w:color w:val="auto"/>
                <w:kern w:val="0"/>
                <w:sz w:val="24"/>
                <w:szCs w:val="24"/>
                <w:lang w:val="en-US" w:eastAsia="zh-CN"/>
              </w:rPr>
              <w:t>2</w:t>
            </w:r>
            <w:r>
              <w:rPr>
                <w:rFonts w:hint="eastAsia" w:ascii="仿宋" w:hAnsi="仿宋" w:eastAsia="仿宋" w:cs="仿宋"/>
                <w:color w:val="auto"/>
                <w:kern w:val="0"/>
                <w:sz w:val="24"/>
                <w:szCs w:val="24"/>
              </w:rPr>
              <w:t>0人的服务团队其他成员，拟投入的项目负责人须为大学专科（含）以上学历，服务团队其他成员为大学专科学历（含）以上的不少于15人，提供团队人员的学历证书复印件、劳动合同复印件（或在职承诺证明复印件）作为证明材料，保障工作开展的需要。</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的服务团队成员应遵守安全操作规章制度，若服务团队成员发生工伤、人身损害、财产损失等事宜，由</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及其服务团队成员负责，与采购人无关。</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的服务团队成员导致采购人人员或第三人人身、财产损失的，由</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及其服务团队成员负责，与采购人无关。</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④</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需配备检测生活垃圾压缩站的检测仪器设备</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⑤</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需提供应急方案及处理措施内容。</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⑥为满足项目需求，</w:t>
            </w:r>
            <w:r>
              <w:rPr>
                <w:rFonts w:hint="eastAsia" w:ascii="仿宋" w:hAnsi="仿宋" w:eastAsia="仿宋" w:cs="仿宋"/>
                <w:color w:val="auto"/>
                <w:kern w:val="0"/>
                <w:sz w:val="24"/>
                <w:szCs w:val="24"/>
                <w:lang w:eastAsia="zh-CN"/>
              </w:rPr>
              <w:t>中标人</w:t>
            </w:r>
            <w:r>
              <w:rPr>
                <w:rFonts w:hint="eastAsia" w:ascii="仿宋" w:hAnsi="仿宋" w:eastAsia="仿宋" w:cs="仿宋"/>
                <w:color w:val="auto"/>
                <w:kern w:val="0"/>
                <w:sz w:val="24"/>
                <w:szCs w:val="24"/>
              </w:rPr>
              <w:t>需保证每天均能配备5辆（含）或以上且满足项目所在地的交通政策的车辆供本项目使用的，且可根据采购人要求随时调配项目所需车辆的，能供本项目应急时使用的。</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⑦提供项目所需的生活垃圾压缩站检测仪器设备，包括但不限于噪声测试仪、超声波探伤仪、水平仪、金属测厚仪、超声波泄露检测仪等。</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⑧提供建立垃圾压缩站类别的检查管理系统。</w:t>
            </w:r>
          </w:p>
        </w:tc>
      </w:tr>
    </w:tbl>
    <w:p>
      <w:pPr>
        <w:rPr>
          <w:rFonts w:hint="eastAsia" w:ascii="仿宋" w:hAnsi="仿宋" w:eastAsia="仿宋" w:cs="仿宋"/>
          <w:color w:val="auto"/>
        </w:rPr>
      </w:pPr>
      <w:r>
        <w:rPr>
          <w:rFonts w:hint="eastAsia" w:ascii="仿宋" w:hAnsi="仿宋" w:eastAsia="仿宋" w:cs="仿宋"/>
          <w:color w:val="auto"/>
        </w:rPr>
        <w:br w:type="page"/>
      </w: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2.技术标准与要求</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732"/>
        <w:gridCol w:w="1184"/>
        <w:gridCol w:w="745"/>
        <w:gridCol w:w="631"/>
        <w:gridCol w:w="1380"/>
        <w:gridCol w:w="1282"/>
        <w:gridCol w:w="1166"/>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序号</w:t>
            </w:r>
          </w:p>
        </w:tc>
        <w:tc>
          <w:tcPr>
            <w:tcW w:w="429"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品目名称</w:t>
            </w:r>
          </w:p>
        </w:tc>
        <w:tc>
          <w:tcPr>
            <w:tcW w:w="694"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标的名称</w:t>
            </w:r>
          </w:p>
        </w:tc>
        <w:tc>
          <w:tcPr>
            <w:tcW w:w="437"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单位</w:t>
            </w:r>
          </w:p>
        </w:tc>
        <w:tc>
          <w:tcPr>
            <w:tcW w:w="370"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数量</w:t>
            </w:r>
          </w:p>
        </w:tc>
        <w:tc>
          <w:tcPr>
            <w:tcW w:w="809"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分项预算单价（元）</w:t>
            </w:r>
          </w:p>
        </w:tc>
        <w:tc>
          <w:tcPr>
            <w:tcW w:w="752"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分项预算总价（元）</w:t>
            </w:r>
          </w:p>
        </w:tc>
        <w:tc>
          <w:tcPr>
            <w:tcW w:w="684"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所属行业</w:t>
            </w:r>
          </w:p>
        </w:tc>
        <w:tc>
          <w:tcPr>
            <w:tcW w:w="477"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技术</w:t>
            </w:r>
          </w:p>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429"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其他服务</w:t>
            </w:r>
          </w:p>
        </w:tc>
        <w:tc>
          <w:tcPr>
            <w:tcW w:w="694" w:type="pct"/>
            <w:vAlign w:val="center"/>
          </w:tcPr>
          <w:p>
            <w:pPr>
              <w:autoSpaceDE w:val="0"/>
              <w:autoSpaceDN w:val="0"/>
              <w:spacing w:line="360" w:lineRule="auto"/>
              <w:jc w:val="center"/>
              <w:rPr>
                <w:rFonts w:hint="eastAsia" w:ascii="仿宋" w:hAnsi="仿宋" w:eastAsia="仿宋" w:cs="仿宋"/>
                <w:b w:val="0"/>
                <w:bCs w:val="0"/>
                <w:color w:val="auto"/>
                <w:kern w:val="0"/>
                <w:sz w:val="24"/>
              </w:rPr>
            </w:pPr>
            <w:r>
              <w:rPr>
                <w:rFonts w:hint="eastAsia" w:ascii="仿宋" w:hAnsi="仿宋" w:eastAsia="仿宋" w:cs="仿宋"/>
                <w:b w:val="0"/>
                <w:bCs w:val="0"/>
                <w:color w:val="auto"/>
                <w:sz w:val="24"/>
                <w:szCs w:val="28"/>
                <w:lang w:eastAsia="zh-CN"/>
              </w:rPr>
              <w:t>垃圾压缩站日常运营监管</w:t>
            </w:r>
          </w:p>
        </w:tc>
        <w:tc>
          <w:tcPr>
            <w:tcW w:w="437" w:type="pct"/>
            <w:vAlign w:val="center"/>
          </w:tcPr>
          <w:p>
            <w:pPr>
              <w:autoSpaceDE w:val="0"/>
              <w:autoSpaceDN w:val="0"/>
              <w:spacing w:line="360" w:lineRule="auto"/>
              <w:jc w:val="center"/>
              <w:rPr>
                <w:rFonts w:hint="default" w:ascii="仿宋" w:hAnsi="仿宋" w:eastAsia="仿宋" w:cs="仿宋"/>
                <w:b w:val="0"/>
                <w:bCs w:val="0"/>
                <w:color w:val="auto"/>
                <w:kern w:val="0"/>
                <w:sz w:val="24"/>
                <w:lang w:val="en-US" w:eastAsia="zh-CN"/>
              </w:rPr>
            </w:pPr>
            <w:r>
              <w:rPr>
                <w:rFonts w:hint="eastAsia" w:ascii="仿宋" w:hAnsi="仿宋" w:eastAsia="仿宋" w:cs="仿宋"/>
                <w:b w:val="0"/>
                <w:bCs w:val="0"/>
                <w:color w:val="auto"/>
                <w:kern w:val="0"/>
                <w:sz w:val="24"/>
                <w:lang w:val="en-US" w:eastAsia="zh-CN"/>
              </w:rPr>
              <w:t>项</w:t>
            </w:r>
          </w:p>
        </w:tc>
        <w:tc>
          <w:tcPr>
            <w:tcW w:w="370"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809"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10800000</w:t>
            </w:r>
          </w:p>
        </w:tc>
        <w:tc>
          <w:tcPr>
            <w:tcW w:w="752"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10800000</w:t>
            </w:r>
          </w:p>
        </w:tc>
        <w:tc>
          <w:tcPr>
            <w:tcW w:w="684"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其他未列明行业</w:t>
            </w:r>
          </w:p>
        </w:tc>
        <w:tc>
          <w:tcPr>
            <w:tcW w:w="477" w:type="pct"/>
            <w:vAlign w:val="center"/>
          </w:tcPr>
          <w:p>
            <w:pPr>
              <w:autoSpaceDE w:val="0"/>
              <w:autoSpaceDN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详见附表一</w:t>
            </w:r>
          </w:p>
        </w:tc>
      </w:tr>
    </w:tbl>
    <w:p>
      <w:pPr>
        <w:autoSpaceDE w:val="0"/>
        <w:autoSpaceDN w:val="0"/>
        <w:adjustRightInd w:val="0"/>
        <w:spacing w:line="360" w:lineRule="auto"/>
        <w:jc w:val="left"/>
        <w:rPr>
          <w:rFonts w:hint="eastAsia" w:ascii="仿宋" w:hAnsi="仿宋" w:eastAsia="仿宋" w:cs="仿宋"/>
          <w:color w:val="auto"/>
          <w:kern w:val="0"/>
          <w:sz w:val="24"/>
          <w:szCs w:val="24"/>
        </w:rPr>
      </w:pP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附表一：（</w:t>
      </w:r>
      <w:r>
        <w:rPr>
          <w:rFonts w:hint="eastAsia" w:ascii="仿宋" w:hAnsi="仿宋" w:eastAsia="仿宋" w:cs="仿宋"/>
          <w:b/>
          <w:bCs/>
          <w:color w:val="auto"/>
          <w:sz w:val="24"/>
          <w:szCs w:val="28"/>
          <w:lang w:eastAsia="zh-CN"/>
        </w:rPr>
        <w:t>垃圾压缩站日常运营监管项目</w:t>
      </w:r>
      <w:r>
        <w:rPr>
          <w:rFonts w:hint="eastAsia" w:ascii="仿宋" w:hAnsi="仿宋" w:eastAsia="仿宋" w:cs="仿宋"/>
          <w:b/>
          <w:bCs/>
          <w:color w:val="auto"/>
          <w:sz w:val="24"/>
          <w:szCs w:val="28"/>
        </w:rPr>
        <w:t>）</w:t>
      </w:r>
    </w:p>
    <w:tbl>
      <w:tblPr>
        <w:tblStyle w:val="7"/>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721"/>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参数性质</w:t>
            </w: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序号</w:t>
            </w:r>
          </w:p>
        </w:tc>
        <w:tc>
          <w:tcPr>
            <w:tcW w:w="6590"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具体技术(参数)要求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pStyle w:val="10"/>
              <w:numPr>
                <w:ilvl w:val="0"/>
                <w:numId w:val="28"/>
              </w:numPr>
              <w:autoSpaceDE w:val="0"/>
              <w:autoSpaceDN w:val="0"/>
              <w:spacing w:line="360" w:lineRule="auto"/>
              <w:ind w:firstLineChars="0"/>
              <w:jc w:val="center"/>
              <w:rPr>
                <w:rFonts w:hint="eastAsia" w:ascii="仿宋" w:hAnsi="仿宋" w:eastAsia="仿宋" w:cs="仿宋"/>
                <w:color w:val="auto"/>
                <w:kern w:val="0"/>
                <w:sz w:val="24"/>
              </w:rPr>
            </w:pPr>
          </w:p>
        </w:tc>
        <w:tc>
          <w:tcPr>
            <w:tcW w:w="6590" w:type="dxa"/>
            <w:vAlign w:val="center"/>
          </w:tcPr>
          <w:p>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详见第二章采购需求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说明</w:t>
            </w:r>
          </w:p>
        </w:tc>
        <w:tc>
          <w:tcPr>
            <w:tcW w:w="7311" w:type="dxa"/>
            <w:gridSpan w:val="2"/>
            <w:vAlign w:val="center"/>
          </w:tcPr>
          <w:p>
            <w:pPr>
              <w:autoSpaceDE w:val="0"/>
              <w:autoSpaceDN w:val="0"/>
              <w:adjustRightInd w:val="0"/>
              <w:spacing w:line="360" w:lineRule="auto"/>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打</w:t>
            </w: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号条款为实质性条款，若有任何一条负偏离或不满足则导致投标无效。</w:t>
            </w:r>
          </w:p>
          <w:p>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打“▲”号</w:t>
            </w:r>
            <w:r>
              <w:rPr>
                <w:rFonts w:hint="eastAsia" w:ascii="仿宋" w:hAnsi="仿宋" w:eastAsia="仿宋" w:cs="仿宋"/>
                <w:color w:val="auto"/>
                <w:kern w:val="0"/>
                <w:sz w:val="24"/>
                <w:szCs w:val="24"/>
                <w:lang w:val="en-US" w:eastAsia="zh-CN"/>
              </w:rPr>
              <w:t>条款为重要技术参数，若有部分“▲”条款未响应或不满足，将导致其响应性评审加重扣分，但不作为无效投标条款。</w:t>
            </w:r>
          </w:p>
        </w:tc>
      </w:tr>
    </w:tbl>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4AFA7"/>
    <w:multiLevelType w:val="singleLevel"/>
    <w:tmpl w:val="8604AFA7"/>
    <w:lvl w:ilvl="0" w:tentative="0">
      <w:start w:val="1"/>
      <w:numFmt w:val="chineseCounting"/>
      <w:suff w:val="nothing"/>
      <w:lvlText w:val="（%1）"/>
      <w:lvlJc w:val="left"/>
      <w:rPr>
        <w:rFonts w:hint="eastAsia"/>
      </w:rPr>
    </w:lvl>
  </w:abstractNum>
  <w:abstractNum w:abstractNumId="1">
    <w:nsid w:val="8E55772D"/>
    <w:multiLevelType w:val="singleLevel"/>
    <w:tmpl w:val="8E55772D"/>
    <w:lvl w:ilvl="0" w:tentative="0">
      <w:start w:val="1"/>
      <w:numFmt w:val="decimal"/>
      <w:lvlText w:val="%1."/>
      <w:lvlJc w:val="left"/>
      <w:pPr>
        <w:tabs>
          <w:tab w:val="left" w:pos="312"/>
        </w:tabs>
      </w:pPr>
      <w:rPr>
        <w:rFonts w:hint="default"/>
        <w:b w:val="0"/>
        <w:bCs w:val="0"/>
      </w:rPr>
    </w:lvl>
  </w:abstractNum>
  <w:abstractNum w:abstractNumId="2">
    <w:nsid w:val="8F234B5F"/>
    <w:multiLevelType w:val="singleLevel"/>
    <w:tmpl w:val="8F234B5F"/>
    <w:lvl w:ilvl="0" w:tentative="0">
      <w:start w:val="1"/>
      <w:numFmt w:val="chineseCounting"/>
      <w:suff w:val="space"/>
      <w:lvlText w:val="第%1章"/>
      <w:lvlJc w:val="left"/>
      <w:rPr>
        <w:rFonts w:hint="eastAsia"/>
      </w:rPr>
    </w:lvl>
  </w:abstractNum>
  <w:abstractNum w:abstractNumId="3">
    <w:nsid w:val="8F7C36D4"/>
    <w:multiLevelType w:val="singleLevel"/>
    <w:tmpl w:val="8F7C36D4"/>
    <w:lvl w:ilvl="0" w:tentative="0">
      <w:start w:val="1"/>
      <w:numFmt w:val="decimal"/>
      <w:lvlText w:val="%1."/>
      <w:lvlJc w:val="left"/>
      <w:pPr>
        <w:tabs>
          <w:tab w:val="left" w:pos="312"/>
        </w:tabs>
      </w:pPr>
    </w:lvl>
  </w:abstractNum>
  <w:abstractNum w:abstractNumId="4">
    <w:nsid w:val="9063BB4A"/>
    <w:multiLevelType w:val="singleLevel"/>
    <w:tmpl w:val="9063BB4A"/>
    <w:lvl w:ilvl="0" w:tentative="0">
      <w:start w:val="1"/>
      <w:numFmt w:val="decimal"/>
      <w:lvlText w:val="%1."/>
      <w:lvlJc w:val="left"/>
      <w:pPr>
        <w:tabs>
          <w:tab w:val="left" w:pos="312"/>
        </w:tabs>
      </w:pPr>
    </w:lvl>
  </w:abstractNum>
  <w:abstractNum w:abstractNumId="5">
    <w:nsid w:val="91522E5D"/>
    <w:multiLevelType w:val="singleLevel"/>
    <w:tmpl w:val="91522E5D"/>
    <w:lvl w:ilvl="0" w:tentative="0">
      <w:start w:val="1"/>
      <w:numFmt w:val="decimal"/>
      <w:suff w:val="nothing"/>
      <w:lvlText w:val="（%1）"/>
      <w:lvlJc w:val="left"/>
    </w:lvl>
  </w:abstractNum>
  <w:abstractNum w:abstractNumId="6">
    <w:nsid w:val="BEF604C3"/>
    <w:multiLevelType w:val="singleLevel"/>
    <w:tmpl w:val="BEF604C3"/>
    <w:lvl w:ilvl="0" w:tentative="0">
      <w:start w:val="1"/>
      <w:numFmt w:val="decimal"/>
      <w:suff w:val="nothing"/>
      <w:lvlText w:val="（%1）"/>
      <w:lvlJc w:val="left"/>
    </w:lvl>
  </w:abstractNum>
  <w:abstractNum w:abstractNumId="7">
    <w:nsid w:val="C167C468"/>
    <w:multiLevelType w:val="singleLevel"/>
    <w:tmpl w:val="C167C468"/>
    <w:lvl w:ilvl="0" w:tentative="0">
      <w:start w:val="1"/>
      <w:numFmt w:val="chineseCounting"/>
      <w:suff w:val="space"/>
      <w:lvlText w:val="第%1条"/>
      <w:lvlJc w:val="left"/>
      <w:rPr>
        <w:rFonts w:hint="eastAsia"/>
      </w:rPr>
    </w:lvl>
  </w:abstractNum>
  <w:abstractNum w:abstractNumId="8">
    <w:nsid w:val="C511468D"/>
    <w:multiLevelType w:val="singleLevel"/>
    <w:tmpl w:val="C511468D"/>
    <w:lvl w:ilvl="0" w:tentative="0">
      <w:start w:val="1"/>
      <w:numFmt w:val="chineseCounting"/>
      <w:suff w:val="nothing"/>
      <w:lvlText w:val="（%1）"/>
      <w:lvlJc w:val="left"/>
      <w:rPr>
        <w:rFonts w:hint="eastAsia"/>
      </w:rPr>
    </w:lvl>
  </w:abstractNum>
  <w:abstractNum w:abstractNumId="9">
    <w:nsid w:val="E405BD3A"/>
    <w:multiLevelType w:val="singleLevel"/>
    <w:tmpl w:val="E405BD3A"/>
    <w:lvl w:ilvl="0" w:tentative="0">
      <w:start w:val="5"/>
      <w:numFmt w:val="chineseCounting"/>
      <w:suff w:val="space"/>
      <w:lvlText w:val="第%1章"/>
      <w:lvlJc w:val="left"/>
      <w:rPr>
        <w:rFonts w:hint="eastAsia"/>
      </w:rPr>
    </w:lvl>
  </w:abstractNum>
  <w:abstractNum w:abstractNumId="10">
    <w:nsid w:val="E835B377"/>
    <w:multiLevelType w:val="singleLevel"/>
    <w:tmpl w:val="E835B377"/>
    <w:lvl w:ilvl="0" w:tentative="0">
      <w:start w:val="1"/>
      <w:numFmt w:val="decimal"/>
      <w:suff w:val="nothing"/>
      <w:lvlText w:val="（%1）"/>
      <w:lvlJc w:val="left"/>
    </w:lvl>
  </w:abstractNum>
  <w:abstractNum w:abstractNumId="11">
    <w:nsid w:val="ED1879FB"/>
    <w:multiLevelType w:val="singleLevel"/>
    <w:tmpl w:val="ED1879FB"/>
    <w:lvl w:ilvl="0" w:tentative="0">
      <w:start w:val="1"/>
      <w:numFmt w:val="chineseCounting"/>
      <w:suff w:val="nothing"/>
      <w:lvlText w:val="（%1）"/>
      <w:lvlJc w:val="left"/>
      <w:rPr>
        <w:rFonts w:hint="eastAsia"/>
      </w:rPr>
    </w:lvl>
  </w:abstractNum>
  <w:abstractNum w:abstractNumId="12">
    <w:nsid w:val="F860F336"/>
    <w:multiLevelType w:val="singleLevel"/>
    <w:tmpl w:val="F860F336"/>
    <w:lvl w:ilvl="0" w:tentative="0">
      <w:start w:val="1"/>
      <w:numFmt w:val="decimal"/>
      <w:lvlText w:val="%1."/>
      <w:lvlJc w:val="left"/>
      <w:pPr>
        <w:tabs>
          <w:tab w:val="left" w:pos="312"/>
        </w:tabs>
      </w:pPr>
    </w:lvl>
  </w:abstractNum>
  <w:abstractNum w:abstractNumId="13">
    <w:nsid w:val="FBDA2667"/>
    <w:multiLevelType w:val="singleLevel"/>
    <w:tmpl w:val="FBDA2667"/>
    <w:lvl w:ilvl="0" w:tentative="0">
      <w:start w:val="1"/>
      <w:numFmt w:val="decimal"/>
      <w:lvlText w:val="%1."/>
      <w:lvlJc w:val="left"/>
      <w:pPr>
        <w:tabs>
          <w:tab w:val="left" w:pos="312"/>
        </w:tabs>
      </w:pPr>
    </w:lvl>
  </w:abstractNum>
  <w:abstractNum w:abstractNumId="14">
    <w:nsid w:val="1418E20D"/>
    <w:multiLevelType w:val="singleLevel"/>
    <w:tmpl w:val="1418E20D"/>
    <w:lvl w:ilvl="0" w:tentative="0">
      <w:start w:val="1"/>
      <w:numFmt w:val="chineseCounting"/>
      <w:suff w:val="nothing"/>
      <w:lvlText w:val="（%1）"/>
      <w:lvlJc w:val="left"/>
      <w:rPr>
        <w:rFonts w:hint="eastAsia"/>
      </w:rPr>
    </w:lvl>
  </w:abstractNum>
  <w:abstractNum w:abstractNumId="15">
    <w:nsid w:val="1A4CF8F4"/>
    <w:multiLevelType w:val="singleLevel"/>
    <w:tmpl w:val="1A4CF8F4"/>
    <w:lvl w:ilvl="0" w:tentative="0">
      <w:start w:val="1"/>
      <w:numFmt w:val="chineseCounting"/>
      <w:suff w:val="nothing"/>
      <w:lvlText w:val="%1、"/>
      <w:lvlJc w:val="left"/>
      <w:rPr>
        <w:rFonts w:hint="eastAsia"/>
      </w:rPr>
    </w:lvl>
  </w:abstractNum>
  <w:abstractNum w:abstractNumId="16">
    <w:nsid w:val="24AA7EA2"/>
    <w:multiLevelType w:val="singleLevel"/>
    <w:tmpl w:val="24AA7EA2"/>
    <w:lvl w:ilvl="0" w:tentative="0">
      <w:start w:val="1"/>
      <w:numFmt w:val="decimal"/>
      <w:suff w:val="nothing"/>
      <w:lvlText w:val="（%1）"/>
      <w:lvlJc w:val="left"/>
    </w:lvl>
  </w:abstractNum>
  <w:abstractNum w:abstractNumId="17">
    <w:nsid w:val="37A41483"/>
    <w:multiLevelType w:val="singleLevel"/>
    <w:tmpl w:val="37A41483"/>
    <w:lvl w:ilvl="0" w:tentative="0">
      <w:start w:val="1"/>
      <w:numFmt w:val="chineseCounting"/>
      <w:suff w:val="nothing"/>
      <w:lvlText w:val="（%1）"/>
      <w:lvlJc w:val="left"/>
      <w:rPr>
        <w:rFonts w:hint="eastAsia"/>
      </w:rPr>
    </w:lvl>
  </w:abstractNum>
  <w:abstractNum w:abstractNumId="18">
    <w:nsid w:val="3C11F462"/>
    <w:multiLevelType w:val="singleLevel"/>
    <w:tmpl w:val="3C11F462"/>
    <w:lvl w:ilvl="0" w:tentative="0">
      <w:start w:val="15"/>
      <w:numFmt w:val="chineseCounting"/>
      <w:suff w:val="space"/>
      <w:lvlText w:val="第%1条"/>
      <w:lvlJc w:val="left"/>
      <w:rPr>
        <w:rFonts w:hint="eastAsia"/>
      </w:rPr>
    </w:lvl>
  </w:abstractNum>
  <w:abstractNum w:abstractNumId="19">
    <w:nsid w:val="3EB449DD"/>
    <w:multiLevelType w:val="multilevel"/>
    <w:tmpl w:val="3EB449DD"/>
    <w:lvl w:ilvl="0" w:tentative="0">
      <w:start w:val="1"/>
      <w:numFmt w:val="decimal"/>
      <w:lvlText w:val="%1."/>
      <w:lvlJc w:val="left"/>
      <w:pPr>
        <w:tabs>
          <w:tab w:val="left" w:pos="420"/>
        </w:tabs>
        <w:ind w:left="42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9DC9613"/>
    <w:multiLevelType w:val="singleLevel"/>
    <w:tmpl w:val="69DC9613"/>
    <w:lvl w:ilvl="0" w:tentative="0">
      <w:start w:val="1"/>
      <w:numFmt w:val="decimal"/>
      <w:lvlText w:val="%1."/>
      <w:lvlJc w:val="left"/>
      <w:pPr>
        <w:tabs>
          <w:tab w:val="left" w:pos="312"/>
        </w:tabs>
      </w:pPr>
    </w:lvl>
  </w:abstractNum>
  <w:abstractNum w:abstractNumId="21">
    <w:nsid w:val="6A742476"/>
    <w:multiLevelType w:val="singleLevel"/>
    <w:tmpl w:val="6A742476"/>
    <w:lvl w:ilvl="0" w:tentative="0">
      <w:start w:val="1"/>
      <w:numFmt w:val="decimal"/>
      <w:suff w:val="nothing"/>
      <w:lvlText w:val="（%1）"/>
      <w:lvlJc w:val="left"/>
    </w:lvl>
  </w:abstractNum>
  <w:abstractNum w:abstractNumId="22">
    <w:nsid w:val="6A8AEB84"/>
    <w:multiLevelType w:val="singleLevel"/>
    <w:tmpl w:val="6A8AEB84"/>
    <w:lvl w:ilvl="0" w:tentative="0">
      <w:start w:val="1"/>
      <w:numFmt w:val="decimal"/>
      <w:lvlText w:val="%1."/>
      <w:lvlJc w:val="left"/>
      <w:pPr>
        <w:tabs>
          <w:tab w:val="left" w:pos="312"/>
        </w:tabs>
      </w:pPr>
    </w:lvl>
  </w:abstractNum>
  <w:abstractNum w:abstractNumId="23">
    <w:nsid w:val="6BF92D3B"/>
    <w:multiLevelType w:val="singleLevel"/>
    <w:tmpl w:val="6BF92D3B"/>
    <w:lvl w:ilvl="0" w:tentative="0">
      <w:start w:val="1"/>
      <w:numFmt w:val="decimal"/>
      <w:suff w:val="nothing"/>
      <w:lvlText w:val="（%1）"/>
      <w:lvlJc w:val="left"/>
    </w:lvl>
  </w:abstractNum>
  <w:abstractNum w:abstractNumId="24">
    <w:nsid w:val="6DF7EFF7"/>
    <w:multiLevelType w:val="singleLevel"/>
    <w:tmpl w:val="6DF7EFF7"/>
    <w:lvl w:ilvl="0" w:tentative="0">
      <w:start w:val="1"/>
      <w:numFmt w:val="decimal"/>
      <w:suff w:val="nothing"/>
      <w:lvlText w:val="（%1）"/>
      <w:lvlJc w:val="left"/>
    </w:lvl>
  </w:abstractNum>
  <w:abstractNum w:abstractNumId="25">
    <w:nsid w:val="73BF0398"/>
    <w:multiLevelType w:val="singleLevel"/>
    <w:tmpl w:val="73BF0398"/>
    <w:lvl w:ilvl="0" w:tentative="0">
      <w:start w:val="1"/>
      <w:numFmt w:val="chineseCounting"/>
      <w:suff w:val="nothing"/>
      <w:lvlText w:val="（%1）"/>
      <w:lvlJc w:val="left"/>
      <w:rPr>
        <w:rFonts w:hint="eastAsia"/>
      </w:rPr>
    </w:lvl>
  </w:abstractNum>
  <w:abstractNum w:abstractNumId="26">
    <w:nsid w:val="7C38D14D"/>
    <w:multiLevelType w:val="singleLevel"/>
    <w:tmpl w:val="7C38D14D"/>
    <w:lvl w:ilvl="0" w:tentative="0">
      <w:start w:val="2"/>
      <w:numFmt w:val="chineseCounting"/>
      <w:suff w:val="nothing"/>
      <w:lvlText w:val="%1、"/>
      <w:lvlJc w:val="left"/>
      <w:rPr>
        <w:rFonts w:hint="eastAsia"/>
      </w:rPr>
    </w:lvl>
  </w:abstractNum>
  <w:abstractNum w:abstractNumId="27">
    <w:nsid w:val="7D1F60FD"/>
    <w:multiLevelType w:val="singleLevel"/>
    <w:tmpl w:val="7D1F60FD"/>
    <w:lvl w:ilvl="0" w:tentative="0">
      <w:start w:val="2"/>
      <w:numFmt w:val="chineseCounting"/>
      <w:suff w:val="nothing"/>
      <w:lvlText w:val="（%1）"/>
      <w:lvlJc w:val="left"/>
      <w:rPr>
        <w:rFonts w:hint="eastAsia"/>
      </w:rPr>
    </w:lvl>
  </w:abstractNum>
  <w:num w:numId="1">
    <w:abstractNumId w:val="26"/>
  </w:num>
  <w:num w:numId="2">
    <w:abstractNumId w:val="27"/>
  </w:num>
  <w:num w:numId="3">
    <w:abstractNumId w:val="22"/>
  </w:num>
  <w:num w:numId="4">
    <w:abstractNumId w:val="13"/>
  </w:num>
  <w:num w:numId="5">
    <w:abstractNumId w:val="3"/>
  </w:num>
  <w:num w:numId="6">
    <w:abstractNumId w:val="1"/>
  </w:num>
  <w:num w:numId="7">
    <w:abstractNumId w:val="12"/>
  </w:num>
  <w:num w:numId="8">
    <w:abstractNumId w:val="7"/>
  </w:num>
  <w:num w:numId="9">
    <w:abstractNumId w:val="25"/>
  </w:num>
  <w:num w:numId="10">
    <w:abstractNumId w:val="8"/>
  </w:num>
  <w:num w:numId="11">
    <w:abstractNumId w:val="20"/>
  </w:num>
  <w:num w:numId="12">
    <w:abstractNumId w:val="0"/>
  </w:num>
  <w:num w:numId="13">
    <w:abstractNumId w:val="11"/>
  </w:num>
  <w:num w:numId="14">
    <w:abstractNumId w:val="18"/>
  </w:num>
  <w:num w:numId="15">
    <w:abstractNumId w:val="15"/>
  </w:num>
  <w:num w:numId="16">
    <w:abstractNumId w:val="14"/>
  </w:num>
  <w:num w:numId="17">
    <w:abstractNumId w:val="17"/>
  </w:num>
  <w:num w:numId="18">
    <w:abstractNumId w:val="4"/>
  </w:num>
  <w:num w:numId="19">
    <w:abstractNumId w:val="21"/>
  </w:num>
  <w:num w:numId="20">
    <w:abstractNumId w:val="6"/>
  </w:num>
  <w:num w:numId="21">
    <w:abstractNumId w:val="5"/>
  </w:num>
  <w:num w:numId="22">
    <w:abstractNumId w:val="16"/>
  </w:num>
  <w:num w:numId="23">
    <w:abstractNumId w:val="23"/>
  </w:num>
  <w:num w:numId="24">
    <w:abstractNumId w:val="2"/>
  </w:num>
  <w:num w:numId="25">
    <w:abstractNumId w:val="9"/>
  </w:num>
  <w:num w:numId="26">
    <w:abstractNumId w:val="10"/>
  </w:num>
  <w:num w:numId="27">
    <w:abstractNumId w:val="24"/>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0NWNmNjQ2NTVlZmM1YzM3ZmI2MjUxNjI3YTJiMDkifQ=="/>
  </w:docVars>
  <w:rsids>
    <w:rsidRoot w:val="245D5354"/>
    <w:rsid w:val="16DC7CAA"/>
    <w:rsid w:val="245D5354"/>
    <w:rsid w:val="3AAB751B"/>
    <w:rsid w:val="3C327CAD"/>
    <w:rsid w:val="4134600D"/>
    <w:rsid w:val="514B525D"/>
    <w:rsid w:val="69521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rPr>
  </w:style>
  <w:style w:type="paragraph" w:styleId="5">
    <w:name w:val="Body Text"/>
    <w:basedOn w:val="1"/>
    <w:next w:val="1"/>
    <w:qFormat/>
    <w:uiPriority w:val="1"/>
    <w:rPr>
      <w:rFonts w:ascii="宋体" w:hAnsi="宋体" w:eastAsia="宋体" w:cs="宋体"/>
      <w:sz w:val="19"/>
      <w:szCs w:val="19"/>
      <w:lang w:val="zh-CN" w:eastAsia="zh-CN" w:bidi="zh-CN"/>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 正文文本 + 左侧:  0.21 厘米 首行缩进:  2 字符"/>
    <w:basedOn w:val="5"/>
    <w:next w:val="1"/>
    <w:qFormat/>
    <w:uiPriority w:val="0"/>
    <w:pPr>
      <w:widowControl/>
      <w:autoSpaceDE w:val="0"/>
      <w:autoSpaceDN w:val="0"/>
      <w:ind w:left="119" w:firstLine="200" w:firstLineChars="200"/>
      <w:jc w:val="left"/>
    </w:pPr>
    <w:rPr>
      <w:rFonts w:ascii="宋体" w:hAnsi="宋体" w:cs="宋体"/>
      <w:sz w:val="28"/>
    </w:rPr>
  </w:style>
  <w:style w:type="paragraph" w:styleId="10">
    <w:name w:val="List Paragraph"/>
    <w:basedOn w:val="1"/>
    <w:qFormat/>
    <w:uiPriority w:val="0"/>
    <w:pPr>
      <w:adjustRightInd w:val="0"/>
      <w:spacing w:line="360" w:lineRule="atLeast"/>
      <w:ind w:firstLine="420" w:firstLineChars="200"/>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15917</Words>
  <Characters>16209</Characters>
  <Lines>0</Lines>
  <Paragraphs>0</Paragraphs>
  <TotalTime>14</TotalTime>
  <ScaleCrop>false</ScaleCrop>
  <LinksUpToDate>false</LinksUpToDate>
  <CharactersWithSpaces>16270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2023-03-31T07:16:00Z</dcterms:created>
  <dc:creator>粤采咨询</dc:creator>
  <cp:lastModifiedBy>粤采咨询</cp:lastModifiedBy>
  <dcterms:modified xsi:type="dcterms:W3CDTF">2023-04-01T00:33:27Z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59CBC71B89F04F10AFF33168237DB12E</vt:lpwstr>
  </property>
</Properties>
</file>